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C2C" w:rsidRPr="00FD0C2C" w:rsidRDefault="00FD0C2C" w:rsidP="00690D25">
      <w:pPr>
        <w:bidi w:val="0"/>
        <w:spacing w:line="360" w:lineRule="auto"/>
        <w:jc w:val="both"/>
        <w:rPr>
          <w:rFonts w:cs="Simplified Arabic"/>
          <w:b/>
          <w:bCs/>
          <w:sz w:val="16"/>
          <w:szCs w:val="16"/>
          <w:u w:val="double"/>
        </w:rPr>
      </w:pPr>
      <w:r w:rsidRPr="00FD0C2C">
        <w:rPr>
          <w:rFonts w:cs="Simplified Arabic"/>
          <w:b/>
          <w:bCs/>
          <w:sz w:val="16"/>
          <w:szCs w:val="16"/>
          <w:u w:val="double"/>
        </w:rPr>
        <w:t>THE INTERNATIONAL CONFERENCE ON BIOLOGICAL SCIENCES VOL. 1-PART2, 7-8 MAY 2000</w:t>
      </w:r>
    </w:p>
    <w:p w:rsidR="00690D25" w:rsidRPr="00AA29D1" w:rsidRDefault="00690D25" w:rsidP="00FD0C2C">
      <w:pPr>
        <w:bidi w:val="0"/>
        <w:spacing w:line="360" w:lineRule="auto"/>
        <w:jc w:val="both"/>
        <w:rPr>
          <w:rFonts w:cs="Simplified Arabic"/>
          <w:sz w:val="16"/>
          <w:szCs w:val="16"/>
        </w:rPr>
      </w:pPr>
      <w:r w:rsidRPr="00AA29D1">
        <w:rPr>
          <w:rFonts w:cs="Simplified Arabic"/>
          <w:b/>
          <w:bCs/>
          <w:sz w:val="16"/>
          <w:szCs w:val="16"/>
        </w:rPr>
        <w:t xml:space="preserve"> Proc. I.C.B.S., 1 (2) 2000: 123-132.</w:t>
      </w:r>
    </w:p>
    <w:p w:rsidR="00690D25" w:rsidRPr="00FD0C2C" w:rsidRDefault="00690D25" w:rsidP="00AA29D1">
      <w:pPr>
        <w:bidi w:val="0"/>
        <w:spacing w:before="240" w:line="360" w:lineRule="auto"/>
        <w:jc w:val="both"/>
        <w:rPr>
          <w:rFonts w:asciiTheme="majorBidi" w:hAnsiTheme="majorBidi" w:cstheme="majorBidi"/>
          <w:b/>
          <w:bCs/>
          <w:sz w:val="22"/>
          <w:szCs w:val="22"/>
        </w:rPr>
      </w:pPr>
      <w:r w:rsidRPr="00FD0C2C">
        <w:rPr>
          <w:rFonts w:asciiTheme="majorBidi" w:hAnsiTheme="majorBidi" w:cstheme="majorBidi"/>
          <w:b/>
          <w:bCs/>
          <w:sz w:val="22"/>
          <w:szCs w:val="22"/>
        </w:rPr>
        <w:t>THE</w:t>
      </w:r>
      <w:r w:rsidR="00AA29D1" w:rsidRPr="00FD0C2C">
        <w:rPr>
          <w:rFonts w:asciiTheme="majorBidi" w:hAnsiTheme="majorBidi" w:cstheme="majorBidi"/>
          <w:b/>
          <w:bCs/>
          <w:sz w:val="22"/>
          <w:szCs w:val="22"/>
        </w:rPr>
        <w:t xml:space="preserve"> COMBINED EFFECT OF </w:t>
      </w:r>
      <w:r w:rsidRPr="00FD0C2C">
        <w:rPr>
          <w:rFonts w:asciiTheme="majorBidi" w:hAnsiTheme="majorBidi" w:cstheme="majorBidi"/>
          <w:b/>
          <w:bCs/>
          <w:sz w:val="22"/>
          <w:szCs w:val="22"/>
        </w:rPr>
        <w:t xml:space="preserve">THE PHOTO-INSECTICIDE HEMATOPORPHYRIN AND THE INSECT GROWTH REGULATOR DIMILIN ON </w:t>
      </w:r>
      <w:r w:rsidRPr="00FD0C2C">
        <w:rPr>
          <w:rFonts w:asciiTheme="majorBidi" w:hAnsiTheme="majorBidi" w:cstheme="majorBidi"/>
          <w:b/>
          <w:bCs/>
          <w:i/>
          <w:iCs/>
          <w:sz w:val="22"/>
          <w:szCs w:val="22"/>
        </w:rPr>
        <w:t>Culex pipiens</w:t>
      </w:r>
      <w:r w:rsidRPr="00FD0C2C">
        <w:rPr>
          <w:rFonts w:asciiTheme="majorBidi" w:hAnsiTheme="majorBidi" w:cstheme="majorBidi"/>
          <w:b/>
          <w:bCs/>
          <w:sz w:val="22"/>
          <w:szCs w:val="22"/>
        </w:rPr>
        <w:t xml:space="preserve"> LARVAE. </w:t>
      </w:r>
    </w:p>
    <w:p w:rsidR="00690D25" w:rsidRPr="00FD0C2C" w:rsidRDefault="00690D25" w:rsidP="00690D25">
      <w:pPr>
        <w:bidi w:val="0"/>
        <w:spacing w:line="360" w:lineRule="auto"/>
        <w:jc w:val="center"/>
        <w:rPr>
          <w:rFonts w:asciiTheme="majorBidi" w:hAnsiTheme="majorBidi" w:cstheme="majorBidi"/>
          <w:b/>
          <w:bCs/>
          <w:sz w:val="22"/>
          <w:szCs w:val="22"/>
        </w:rPr>
      </w:pPr>
      <w:r w:rsidRPr="00FD0C2C">
        <w:rPr>
          <w:rFonts w:asciiTheme="majorBidi" w:hAnsiTheme="majorBidi" w:cstheme="majorBidi"/>
          <w:b/>
          <w:bCs/>
          <w:sz w:val="22"/>
          <w:szCs w:val="22"/>
        </w:rPr>
        <w:t>By</w:t>
      </w:r>
    </w:p>
    <w:p w:rsidR="00690D25" w:rsidRPr="00FD0C2C" w:rsidRDefault="00690D25" w:rsidP="00690D25">
      <w:pPr>
        <w:bidi w:val="0"/>
        <w:spacing w:line="360" w:lineRule="auto"/>
        <w:jc w:val="center"/>
        <w:rPr>
          <w:rFonts w:asciiTheme="majorBidi" w:hAnsiTheme="majorBidi" w:cstheme="majorBidi"/>
          <w:b/>
          <w:bCs/>
          <w:sz w:val="22"/>
          <w:szCs w:val="22"/>
        </w:rPr>
      </w:pPr>
      <w:r w:rsidRPr="00FD0C2C">
        <w:rPr>
          <w:rFonts w:asciiTheme="majorBidi" w:hAnsiTheme="majorBidi" w:cstheme="majorBidi"/>
          <w:b/>
          <w:bCs/>
          <w:sz w:val="22"/>
          <w:szCs w:val="22"/>
        </w:rPr>
        <w:t>Elham M. Salama</w:t>
      </w:r>
    </w:p>
    <w:p w:rsidR="00690D25" w:rsidRDefault="00690D25" w:rsidP="0057032F">
      <w:pPr>
        <w:bidi w:val="0"/>
        <w:spacing w:line="360" w:lineRule="auto"/>
        <w:jc w:val="center"/>
        <w:rPr>
          <w:rFonts w:cs="Simplified Arabic"/>
          <w:szCs w:val="20"/>
        </w:rPr>
      </w:pPr>
      <w:r w:rsidRPr="001E7C91">
        <w:rPr>
          <w:rFonts w:cs="Simplified Arabic"/>
          <w:szCs w:val="20"/>
        </w:rPr>
        <w:t>Entomology Department, Faculty of Science, Zagazig University, Benha branch, Egypt</w:t>
      </w:r>
    </w:p>
    <w:p w:rsidR="00C40D66" w:rsidRPr="00C40D66" w:rsidRDefault="00C40D66" w:rsidP="00C40D66">
      <w:pPr>
        <w:pStyle w:val="Heading3"/>
        <w:jc w:val="center"/>
        <w:rPr>
          <w:color w:val="auto"/>
          <w:szCs w:val="20"/>
        </w:rPr>
      </w:pPr>
      <w:r w:rsidRPr="00C40D66">
        <w:rPr>
          <w:color w:val="auto"/>
          <w:szCs w:val="20"/>
        </w:rPr>
        <w:t>ABSTRACT</w:t>
      </w:r>
    </w:p>
    <w:p w:rsidR="00C40D66" w:rsidRPr="00760B34" w:rsidRDefault="00C40D66" w:rsidP="00A32D65">
      <w:pPr>
        <w:keepLines/>
        <w:ind w:firstLine="720"/>
        <w:jc w:val="both"/>
        <w:rPr>
          <w:rFonts w:ascii="Arial" w:hAnsi="Arial" w:cs="Arial"/>
          <w:szCs w:val="20"/>
        </w:rPr>
      </w:pPr>
      <w:r w:rsidRPr="00760B34">
        <w:rPr>
          <w:rFonts w:ascii="Arial" w:hAnsi="Arial" w:cs="Arial"/>
          <w:szCs w:val="20"/>
        </w:rPr>
        <w:t xml:space="preserve">        The present study deals with the compatibility of the hematoporphyrin and dimilin against </w:t>
      </w:r>
      <w:r w:rsidRPr="00760B34">
        <w:rPr>
          <w:rFonts w:ascii="Arial" w:hAnsi="Arial" w:cs="Arial"/>
          <w:i/>
          <w:iCs/>
          <w:szCs w:val="20"/>
        </w:rPr>
        <w:t>Culex pipiens</w:t>
      </w:r>
      <w:r w:rsidRPr="00760B34">
        <w:rPr>
          <w:rFonts w:ascii="Arial" w:hAnsi="Arial" w:cs="Arial"/>
          <w:szCs w:val="20"/>
        </w:rPr>
        <w:t xml:space="preserve"> larvae. The early fourth and second larval instars of </w:t>
      </w:r>
      <w:r w:rsidRPr="00760B34">
        <w:rPr>
          <w:rFonts w:ascii="Arial" w:hAnsi="Arial" w:cs="Arial"/>
          <w:i/>
          <w:iCs/>
          <w:szCs w:val="20"/>
        </w:rPr>
        <w:t>C</w:t>
      </w:r>
      <w:r w:rsidR="00FD0C2C" w:rsidRPr="00760B34">
        <w:rPr>
          <w:rFonts w:ascii="Arial" w:hAnsi="Arial" w:cs="Arial"/>
          <w:i/>
          <w:iCs/>
          <w:szCs w:val="20"/>
        </w:rPr>
        <w:t xml:space="preserve">. </w:t>
      </w:r>
      <w:r w:rsidRPr="00760B34">
        <w:rPr>
          <w:rFonts w:ascii="Arial" w:hAnsi="Arial" w:cs="Arial"/>
          <w:i/>
          <w:iCs/>
          <w:szCs w:val="20"/>
        </w:rPr>
        <w:t>pipiens</w:t>
      </w:r>
      <w:r w:rsidRPr="00760B34">
        <w:rPr>
          <w:rFonts w:ascii="Arial" w:hAnsi="Arial" w:cs="Arial"/>
          <w:szCs w:val="20"/>
        </w:rPr>
        <w:t xml:space="preserve"> were pre treated with dimilin for 24, 48 and 72 hours or prolonged time ( i.e. till pupation) then exposed to the hematoporphyrin for 24 hours before irradiation and vice versa. The larvae were kept in darkness during treatment then were exposed to artificial light ( 380-400W</w:t>
      </w:r>
      <w:r w:rsidR="00466E7D" w:rsidRPr="00760B34">
        <w:rPr>
          <w:rFonts w:ascii="Arial" w:hAnsi="Arial" w:cs="Arial"/>
          <w:szCs w:val="20"/>
        </w:rPr>
        <w:t>m</w:t>
      </w:r>
      <w:r w:rsidR="00466E7D" w:rsidRPr="00760B34">
        <w:rPr>
          <w:rFonts w:ascii="Arial" w:hAnsi="Arial" w:cs="Arial"/>
          <w:szCs w:val="20"/>
          <w:vertAlign w:val="superscript"/>
        </w:rPr>
        <w:t>_2</w:t>
      </w:r>
      <w:r w:rsidRPr="00760B34">
        <w:rPr>
          <w:rFonts w:ascii="Arial" w:hAnsi="Arial" w:cs="Arial"/>
          <w:szCs w:val="20"/>
        </w:rPr>
        <w:t>)</w:t>
      </w:r>
      <w:r w:rsidR="00466E7D" w:rsidRPr="00760B34">
        <w:rPr>
          <w:rFonts w:ascii="Arial" w:hAnsi="Arial" w:cs="Arial"/>
          <w:szCs w:val="20"/>
        </w:rPr>
        <w:t>. It was found to produce higher mortality than if either of them was used alone. In addition the interaction between the hematoporphyrin and dimilin was also more synergistic in the younger instar than in the older fourth instars. Combination of the hematoporphyrin and dimilin provided acceptable control levels when dimilin was applied with 24 hours before the application of the hematoporphyrin before the irradiation. The obtained results showed the possibility of using the hematoporphyrin and dimilin in combinations for contr</w:t>
      </w:r>
      <w:r w:rsidR="007651C0" w:rsidRPr="00760B34">
        <w:rPr>
          <w:rFonts w:ascii="Arial" w:hAnsi="Arial" w:cs="Arial"/>
          <w:szCs w:val="20"/>
        </w:rPr>
        <w:t xml:space="preserve">olling </w:t>
      </w:r>
      <w:r w:rsidR="007651C0" w:rsidRPr="00760B34">
        <w:rPr>
          <w:rFonts w:ascii="Arial" w:hAnsi="Arial" w:cs="Arial"/>
          <w:i/>
          <w:iCs/>
          <w:szCs w:val="20"/>
        </w:rPr>
        <w:t>Culex pipiens</w:t>
      </w:r>
      <w:r w:rsidR="007651C0" w:rsidRPr="00760B34">
        <w:rPr>
          <w:rFonts w:ascii="Arial" w:hAnsi="Arial" w:cs="Arial"/>
          <w:szCs w:val="20"/>
        </w:rPr>
        <w:t xml:space="preserve"> larvae.                                                                    </w:t>
      </w:r>
      <w:r w:rsidR="00466E7D" w:rsidRPr="00760B34">
        <w:rPr>
          <w:rFonts w:ascii="Arial" w:hAnsi="Arial" w:cs="Arial"/>
          <w:szCs w:val="20"/>
        </w:rPr>
        <w:t xml:space="preserve"> </w:t>
      </w:r>
      <w:r w:rsidRPr="00760B34">
        <w:rPr>
          <w:rFonts w:ascii="Arial" w:hAnsi="Arial" w:cs="Arial"/>
          <w:szCs w:val="20"/>
        </w:rPr>
        <w:t xml:space="preserve"> </w:t>
      </w:r>
    </w:p>
    <w:p w:rsidR="00C40D66" w:rsidRDefault="00C40D66" w:rsidP="007651C0">
      <w:pPr>
        <w:jc w:val="center"/>
        <w:rPr>
          <w:rFonts w:ascii="Arial" w:hAnsi="Arial" w:cs="Arial"/>
          <w:b/>
          <w:bCs/>
          <w:szCs w:val="20"/>
        </w:rPr>
      </w:pPr>
      <w:r>
        <w:rPr>
          <w:rFonts w:ascii="Arial" w:hAnsi="Arial" w:cs="Arial"/>
          <w:b/>
          <w:bCs/>
          <w:szCs w:val="20"/>
        </w:rPr>
        <w:t>INTRODUCTION</w:t>
      </w:r>
    </w:p>
    <w:p w:rsidR="00C40D66" w:rsidRDefault="00A32D65" w:rsidP="00AD40A9">
      <w:pPr>
        <w:ind w:firstLine="567"/>
        <w:jc w:val="right"/>
        <w:rPr>
          <w:rFonts w:ascii="Arial" w:hAnsi="Arial" w:cs="Arial"/>
          <w:szCs w:val="20"/>
        </w:rPr>
      </w:pPr>
      <w:r>
        <w:rPr>
          <w:rFonts w:ascii="Arial" w:hAnsi="Arial" w:cs="Arial"/>
          <w:szCs w:val="20"/>
        </w:rPr>
        <w:tab/>
      </w:r>
      <w:r>
        <w:rPr>
          <w:rFonts w:ascii="Arial" w:hAnsi="Arial" w:cs="Arial"/>
          <w:szCs w:val="20"/>
        </w:rPr>
        <w:tab/>
        <w:t xml:space="preserve">         </w:t>
      </w:r>
      <w:r w:rsidR="00660439">
        <w:rPr>
          <w:rFonts w:ascii="Arial" w:hAnsi="Arial" w:cs="Arial"/>
          <w:szCs w:val="20"/>
        </w:rPr>
        <w:t xml:space="preserve">The use of the </w:t>
      </w:r>
      <w:r w:rsidR="00C40D66">
        <w:rPr>
          <w:rFonts w:ascii="Arial" w:hAnsi="Arial" w:cs="Arial"/>
          <w:szCs w:val="20"/>
        </w:rPr>
        <w:t>photoinsecticide</w:t>
      </w:r>
      <w:r w:rsidR="00660439">
        <w:rPr>
          <w:rFonts w:ascii="Arial" w:hAnsi="Arial" w:cs="Arial"/>
          <w:szCs w:val="20"/>
        </w:rPr>
        <w:t xml:space="preserve"> in insect control has received much recent</w:t>
      </w:r>
      <w:r w:rsidR="006344CD">
        <w:rPr>
          <w:rFonts w:ascii="Arial" w:hAnsi="Arial" w:cs="Arial"/>
          <w:szCs w:val="20"/>
        </w:rPr>
        <w:t xml:space="preserve"> </w:t>
      </w:r>
      <w:r w:rsidR="00660439">
        <w:rPr>
          <w:rFonts w:ascii="Arial" w:hAnsi="Arial" w:cs="Arial"/>
          <w:szCs w:val="20"/>
        </w:rPr>
        <w:t xml:space="preserve">attention due to its advantage over the tradional methods </w:t>
      </w:r>
      <w:r w:rsidR="00C40D66">
        <w:rPr>
          <w:rFonts w:ascii="Arial" w:hAnsi="Arial" w:cs="Arial"/>
          <w:szCs w:val="20"/>
        </w:rPr>
        <w:t>,</w:t>
      </w:r>
      <w:r w:rsidR="00660439">
        <w:rPr>
          <w:rFonts w:ascii="Arial" w:hAnsi="Arial" w:cs="Arial"/>
          <w:szCs w:val="20"/>
        </w:rPr>
        <w:t xml:space="preserve"> as reported by, Yaho, </w:t>
      </w:r>
      <w:r w:rsidR="00660439" w:rsidRPr="00660439">
        <w:rPr>
          <w:rFonts w:ascii="Arial" w:hAnsi="Arial" w:cs="Arial"/>
          <w:i/>
          <w:iCs/>
          <w:szCs w:val="20"/>
        </w:rPr>
        <w:t>et al</w:t>
      </w:r>
      <w:r w:rsidR="00660439">
        <w:rPr>
          <w:rFonts w:ascii="Arial" w:hAnsi="Arial" w:cs="Arial"/>
          <w:szCs w:val="20"/>
        </w:rPr>
        <w:t xml:space="preserve">. ( 1976), </w:t>
      </w:r>
      <w:r w:rsidR="00C40D66">
        <w:rPr>
          <w:rFonts w:ascii="Arial" w:hAnsi="Arial" w:cs="Arial"/>
          <w:szCs w:val="20"/>
        </w:rPr>
        <w:t xml:space="preserve"> Heitz (1987), Lenke, </w:t>
      </w:r>
      <w:r w:rsidR="00C40D66">
        <w:rPr>
          <w:rFonts w:ascii="Arial" w:hAnsi="Arial" w:cs="Arial"/>
          <w:i/>
          <w:iCs/>
          <w:szCs w:val="20"/>
        </w:rPr>
        <w:t>et al.</w:t>
      </w:r>
      <w:r w:rsidR="00C40D66">
        <w:rPr>
          <w:rFonts w:ascii="Arial" w:hAnsi="Arial" w:cs="Arial"/>
          <w:szCs w:val="20"/>
        </w:rPr>
        <w:t xml:space="preserve"> (1987), Ben Amor, </w:t>
      </w:r>
      <w:r w:rsidR="00C40D66">
        <w:rPr>
          <w:rFonts w:ascii="Arial" w:hAnsi="Arial" w:cs="Arial"/>
          <w:i/>
          <w:iCs/>
          <w:szCs w:val="20"/>
        </w:rPr>
        <w:t>et al.</w:t>
      </w:r>
      <w:r w:rsidR="00C40D66">
        <w:rPr>
          <w:rFonts w:ascii="Arial" w:hAnsi="Arial" w:cs="Arial"/>
          <w:szCs w:val="20"/>
        </w:rPr>
        <w:t xml:space="preserve"> (1998) and Salama, </w:t>
      </w:r>
      <w:r w:rsidR="00C40D66">
        <w:rPr>
          <w:rFonts w:ascii="Arial" w:hAnsi="Arial" w:cs="Arial"/>
          <w:i/>
          <w:iCs/>
          <w:szCs w:val="20"/>
        </w:rPr>
        <w:t>et al.</w:t>
      </w:r>
      <w:r w:rsidR="00C40D66">
        <w:rPr>
          <w:rFonts w:ascii="Arial" w:hAnsi="Arial" w:cs="Arial"/>
          <w:szCs w:val="20"/>
        </w:rPr>
        <w:t xml:space="preserve"> (1998). The </w:t>
      </w:r>
      <w:r w:rsidR="00660439">
        <w:rPr>
          <w:rFonts w:ascii="Arial" w:hAnsi="Arial" w:cs="Arial"/>
          <w:szCs w:val="20"/>
        </w:rPr>
        <w:t xml:space="preserve">advantageous of utilization of the photoinsecticide include low cost and the possibility of use for insect control management. </w:t>
      </w:r>
      <w:r w:rsidR="00C40D66">
        <w:rPr>
          <w:rFonts w:ascii="Arial" w:hAnsi="Arial" w:cs="Arial"/>
          <w:szCs w:val="20"/>
        </w:rPr>
        <w:t>This photoinsecticide can be directly administered in aqueous solution and in association with attractive; its photophysical, photosensitizing properties have been determined in a variety of media and have been shown to be particularly efficient, Jori (1985). The</w:t>
      </w:r>
      <w:r w:rsidR="00D043F1">
        <w:rPr>
          <w:rFonts w:ascii="Arial" w:hAnsi="Arial" w:cs="Arial"/>
          <w:szCs w:val="20"/>
        </w:rPr>
        <w:t xml:space="preserve"> relatively high water solubility of hematoporphyrin, the ascertained lack of photomutagenic</w:t>
      </w:r>
      <w:r w:rsidR="006344CD">
        <w:rPr>
          <w:rFonts w:ascii="Arial" w:hAnsi="Arial" w:cs="Arial"/>
          <w:szCs w:val="20"/>
        </w:rPr>
        <w:t xml:space="preserve"> activity, Jori and Spikes  (1983) and its wide spread clinical use as a phototherapeutic agent against solid tumours and other diseases, Jori  (1986) and Brown (1997), although some potential hazards and limitation need to be considered, Heitz (1987), Yoho, </w:t>
      </w:r>
      <w:r w:rsidR="006344CD">
        <w:rPr>
          <w:rFonts w:ascii="Arial" w:hAnsi="Arial" w:cs="Arial"/>
          <w:i/>
          <w:iCs/>
          <w:szCs w:val="20"/>
        </w:rPr>
        <w:t>et al.</w:t>
      </w:r>
      <w:r w:rsidR="006344CD">
        <w:rPr>
          <w:rFonts w:ascii="Arial" w:hAnsi="Arial" w:cs="Arial"/>
          <w:szCs w:val="20"/>
        </w:rPr>
        <w:t xml:space="preserve"> (1976), Lenke, </w:t>
      </w:r>
      <w:r w:rsidR="006344CD">
        <w:rPr>
          <w:rFonts w:ascii="Arial" w:hAnsi="Arial" w:cs="Arial"/>
          <w:i/>
          <w:iCs/>
          <w:szCs w:val="20"/>
        </w:rPr>
        <w:t>et al.</w:t>
      </w:r>
      <w:r w:rsidR="006344CD">
        <w:rPr>
          <w:rFonts w:ascii="Arial" w:hAnsi="Arial" w:cs="Arial"/>
          <w:szCs w:val="20"/>
        </w:rPr>
        <w:t xml:space="preserve"> (1987). Photoinsecticide is also very rapidly photobleached upon exposure to UV or visible light, Jori and Spikes  (1983). </w:t>
      </w:r>
    </w:p>
    <w:p w:rsidR="004A0ADD" w:rsidRDefault="006344CD" w:rsidP="00AD40A9">
      <w:pPr>
        <w:pStyle w:val="Heading1"/>
        <w:ind w:firstLine="567"/>
        <w:rPr>
          <w:rFonts w:ascii="Arial" w:hAnsi="Arial" w:cs="Arial"/>
          <w:sz w:val="20"/>
          <w:szCs w:val="20"/>
        </w:rPr>
      </w:pPr>
      <w:r>
        <w:rPr>
          <w:rFonts w:ascii="Arial" w:hAnsi="Arial" w:cs="Arial"/>
          <w:sz w:val="20"/>
          <w:szCs w:val="20"/>
        </w:rPr>
        <w:t>There is a shortage of literatures dealing with the combined effect of the h</w:t>
      </w:r>
      <w:r w:rsidR="00C40D66">
        <w:rPr>
          <w:rFonts w:ascii="Arial" w:hAnsi="Arial" w:cs="Arial"/>
          <w:sz w:val="20"/>
          <w:szCs w:val="20"/>
        </w:rPr>
        <w:t xml:space="preserve">ematoporphyrin </w:t>
      </w:r>
      <w:r>
        <w:rPr>
          <w:rFonts w:ascii="Arial" w:hAnsi="Arial" w:cs="Arial"/>
          <w:sz w:val="20"/>
          <w:szCs w:val="20"/>
        </w:rPr>
        <w:t xml:space="preserve">and the dimilin against </w:t>
      </w:r>
      <w:r w:rsidRPr="00434484">
        <w:rPr>
          <w:rFonts w:ascii="Arial" w:hAnsi="Arial" w:cs="Arial"/>
          <w:i/>
          <w:iCs/>
          <w:sz w:val="20"/>
          <w:szCs w:val="20"/>
        </w:rPr>
        <w:t>Culex pipiens</w:t>
      </w:r>
      <w:r>
        <w:rPr>
          <w:rFonts w:ascii="Arial" w:hAnsi="Arial" w:cs="Arial"/>
          <w:sz w:val="20"/>
          <w:szCs w:val="20"/>
        </w:rPr>
        <w:t xml:space="preserve"> larvae. However most of literatures</w:t>
      </w:r>
      <w:r w:rsidR="004A0ADD">
        <w:rPr>
          <w:rFonts w:ascii="Arial" w:hAnsi="Arial" w:cs="Arial"/>
          <w:sz w:val="20"/>
          <w:szCs w:val="20"/>
        </w:rPr>
        <w:t xml:space="preserve"> are dealing with those treated with dimilin with other additives or hematoporphyrin with other additives too. The phototoxicity of the hematoporphyrin is based on its ability for generating singlet oxygen in presence of light. This cause severs damage to the cell membrane and resulted in cell death. However, it`s poorly stable in presence of light. </w:t>
      </w:r>
    </w:p>
    <w:p w:rsidR="00ED5069" w:rsidRPr="00AD40A9" w:rsidRDefault="004A0ADD" w:rsidP="00AD40A9">
      <w:pPr>
        <w:pStyle w:val="Heading1"/>
        <w:ind w:firstLine="567"/>
        <w:rPr>
          <w:sz w:val="20"/>
          <w:szCs w:val="20"/>
        </w:rPr>
      </w:pPr>
      <w:r>
        <w:rPr>
          <w:rFonts w:ascii="Arial" w:hAnsi="Arial" w:cs="Arial"/>
          <w:sz w:val="20"/>
          <w:szCs w:val="20"/>
        </w:rPr>
        <w:t xml:space="preserve">In this study, the combined effects of the hematoporphyrin ( photoinsecticide) and the dimilin ( insect growth regulator) were </w:t>
      </w:r>
      <w:r w:rsidR="00AD40A9">
        <w:rPr>
          <w:rFonts w:ascii="Arial" w:hAnsi="Arial" w:cs="Arial"/>
          <w:sz w:val="20"/>
          <w:szCs w:val="20"/>
        </w:rPr>
        <w:t xml:space="preserve">studied against </w:t>
      </w:r>
      <w:r w:rsidR="00AD40A9" w:rsidRPr="00AD40A9">
        <w:rPr>
          <w:rFonts w:ascii="Arial" w:hAnsi="Arial" w:cs="Arial"/>
          <w:i/>
          <w:iCs/>
          <w:sz w:val="20"/>
          <w:szCs w:val="20"/>
        </w:rPr>
        <w:t>Culex pipiens larvae.</w:t>
      </w:r>
      <w:r w:rsidRPr="00AD40A9">
        <w:rPr>
          <w:rFonts w:ascii="Arial" w:hAnsi="Arial" w:cs="Arial"/>
          <w:sz w:val="20"/>
          <w:szCs w:val="20"/>
        </w:rPr>
        <w:t xml:space="preserve"> </w:t>
      </w:r>
    </w:p>
    <w:p w:rsidR="00ED5069" w:rsidRPr="00AD40A9" w:rsidRDefault="00ED5069" w:rsidP="00AD40A9">
      <w:pPr>
        <w:jc w:val="both"/>
        <w:rPr>
          <w:szCs w:val="20"/>
        </w:rPr>
      </w:pPr>
    </w:p>
    <w:p w:rsidR="00ED5069" w:rsidRDefault="00ED5069" w:rsidP="00915397">
      <w:pPr>
        <w:jc w:val="center"/>
      </w:pPr>
    </w:p>
    <w:p w:rsidR="00915397" w:rsidRDefault="00915397" w:rsidP="00915397">
      <w:pPr>
        <w:spacing w:line="480" w:lineRule="auto"/>
        <w:ind w:firstLine="567"/>
        <w:jc w:val="center"/>
        <w:rPr>
          <w:b/>
          <w:bCs/>
          <w:szCs w:val="20"/>
        </w:rPr>
      </w:pPr>
      <w:r>
        <w:rPr>
          <w:b/>
          <w:bCs/>
          <w:szCs w:val="20"/>
        </w:rPr>
        <w:t>MATERIALS AND METHODS</w:t>
      </w:r>
    </w:p>
    <w:p w:rsidR="00915397" w:rsidRPr="00760B34" w:rsidRDefault="00915397" w:rsidP="00760B34">
      <w:pPr>
        <w:jc w:val="right"/>
        <w:rPr>
          <w:rFonts w:asciiTheme="minorBidi" w:hAnsiTheme="minorBidi" w:cstheme="minorBidi"/>
          <w:szCs w:val="20"/>
        </w:rPr>
      </w:pPr>
      <w:r>
        <w:rPr>
          <w:b/>
          <w:bCs/>
          <w:szCs w:val="20"/>
        </w:rPr>
        <w:t xml:space="preserve"> Chemicals  </w:t>
      </w:r>
    </w:p>
    <w:p w:rsidR="005E060A" w:rsidRPr="00760B34" w:rsidRDefault="00915397" w:rsidP="00760B34">
      <w:pPr>
        <w:jc w:val="right"/>
        <w:rPr>
          <w:rFonts w:asciiTheme="minorBidi" w:hAnsiTheme="minorBidi" w:cstheme="minorBidi"/>
          <w:szCs w:val="20"/>
        </w:rPr>
      </w:pPr>
      <w:r w:rsidRPr="00760B34">
        <w:rPr>
          <w:rFonts w:asciiTheme="minorBidi" w:hAnsiTheme="minorBidi" w:cstheme="minorBidi"/>
          <w:szCs w:val="20"/>
        </w:rPr>
        <w:t xml:space="preserve">         All the chemicals used were analytical grade obtained from  </w:t>
      </w:r>
      <w:r w:rsidR="005E060A" w:rsidRPr="00760B34">
        <w:rPr>
          <w:rFonts w:asciiTheme="minorBidi" w:hAnsiTheme="minorBidi" w:cstheme="minorBidi"/>
          <w:szCs w:val="20"/>
        </w:rPr>
        <w:t>Sigma</w:t>
      </w:r>
      <w:r w:rsidR="00760B34">
        <w:rPr>
          <w:rFonts w:asciiTheme="minorBidi" w:hAnsiTheme="minorBidi" w:cstheme="minorBidi"/>
          <w:szCs w:val="20"/>
        </w:rPr>
        <w:t>, Aldrich and Fluka (England).</w:t>
      </w:r>
      <w:r w:rsidR="005E060A" w:rsidRPr="00760B34">
        <w:rPr>
          <w:rFonts w:asciiTheme="minorBidi" w:hAnsiTheme="minorBidi" w:cstheme="minorBidi"/>
          <w:szCs w:val="20"/>
        </w:rPr>
        <w:tab/>
      </w:r>
      <w:r w:rsidR="00967550">
        <w:rPr>
          <w:rFonts w:asciiTheme="minorBidi" w:hAnsiTheme="minorBidi" w:cstheme="minorBidi"/>
          <w:szCs w:val="20"/>
        </w:rPr>
        <w:t>(England).</w:t>
      </w:r>
      <w:r w:rsidR="005E060A" w:rsidRPr="00760B34">
        <w:rPr>
          <w:rFonts w:asciiTheme="minorBidi" w:hAnsiTheme="minorBidi" w:cstheme="minorBidi"/>
          <w:szCs w:val="20"/>
        </w:rPr>
        <w:t xml:space="preserve"> Stock solutions of Hematoporphyri</w:t>
      </w:r>
      <w:r w:rsidR="00967550">
        <w:rPr>
          <w:rFonts w:asciiTheme="minorBidi" w:hAnsiTheme="minorBidi" w:cstheme="minorBidi"/>
          <w:szCs w:val="20"/>
        </w:rPr>
        <w:t xml:space="preserve">n were prepared by dissolving </w:t>
      </w:r>
      <w:r w:rsidR="005E060A" w:rsidRPr="00760B34">
        <w:rPr>
          <w:rFonts w:asciiTheme="minorBidi" w:hAnsiTheme="minorBidi" w:cstheme="minorBidi"/>
          <w:szCs w:val="20"/>
        </w:rPr>
        <w:t xml:space="preserve">known amount of Hematoporphyrin in the minimal amount of 0.1M Na OH and then neutralizing by </w:t>
      </w:r>
      <w:r w:rsidR="0057032F" w:rsidRPr="00760B34">
        <w:rPr>
          <w:rFonts w:asciiTheme="minorBidi" w:hAnsiTheme="minorBidi" w:cstheme="minorBidi"/>
          <w:szCs w:val="20"/>
        </w:rPr>
        <w:t>addition</w:t>
      </w:r>
      <w:r w:rsidR="005E060A" w:rsidRPr="00760B34">
        <w:rPr>
          <w:rFonts w:asciiTheme="minorBidi" w:hAnsiTheme="minorBidi" w:cstheme="minorBidi"/>
          <w:szCs w:val="20"/>
        </w:rPr>
        <w:t xml:space="preserve"> of 36% HCL. The Hematoporphyrin concentration in the final solution was determined </w:t>
      </w:r>
      <w:r w:rsidR="005E060A" w:rsidRPr="00760B34">
        <w:rPr>
          <w:rFonts w:asciiTheme="minorBidi" w:hAnsiTheme="minorBidi" w:cstheme="minorBidi"/>
          <w:szCs w:val="20"/>
        </w:rPr>
        <w:lastRenderedPageBreak/>
        <w:t xml:space="preserve">by absorption spectrophotometry, using </w:t>
      </w:r>
      <w:r w:rsidR="005E060A" w:rsidRPr="00760B34">
        <w:rPr>
          <w:rFonts w:asciiTheme="minorBidi" w:hAnsiTheme="minorBidi" w:cstheme="minorBidi"/>
          <w:szCs w:val="20"/>
        </w:rPr>
        <w:sym w:font="Symbol" w:char="F065"/>
      </w:r>
      <w:r w:rsidR="005E060A" w:rsidRPr="00760B34">
        <w:rPr>
          <w:rFonts w:asciiTheme="minorBidi" w:hAnsiTheme="minorBidi" w:cstheme="minorBidi"/>
          <w:szCs w:val="20"/>
        </w:rPr>
        <w:t xml:space="preserve"> =423000 M</w:t>
      </w:r>
      <w:r w:rsidR="005E060A" w:rsidRPr="00760B34">
        <w:rPr>
          <w:rFonts w:asciiTheme="minorBidi" w:hAnsiTheme="minorBidi" w:cstheme="minorBidi"/>
          <w:szCs w:val="20"/>
          <w:vertAlign w:val="superscript"/>
        </w:rPr>
        <w:t xml:space="preserve">-1 </w:t>
      </w:r>
      <w:r w:rsidR="005E060A" w:rsidRPr="00760B34">
        <w:rPr>
          <w:rFonts w:asciiTheme="minorBidi" w:hAnsiTheme="minorBidi" w:cstheme="minorBidi"/>
          <w:szCs w:val="20"/>
        </w:rPr>
        <w:t>cm</w:t>
      </w:r>
      <w:r w:rsidR="005E060A" w:rsidRPr="00760B34">
        <w:rPr>
          <w:rFonts w:asciiTheme="minorBidi" w:hAnsiTheme="minorBidi" w:cstheme="minorBidi"/>
          <w:szCs w:val="20"/>
          <w:vertAlign w:val="superscript"/>
        </w:rPr>
        <w:t>-1</w:t>
      </w:r>
      <w:r w:rsidR="005E060A" w:rsidRPr="00760B34">
        <w:rPr>
          <w:rFonts w:asciiTheme="minorBidi" w:hAnsiTheme="minorBidi" w:cstheme="minorBidi"/>
          <w:szCs w:val="20"/>
        </w:rPr>
        <w:t xml:space="preserve"> at 401.5nm. The solutions of Hematoporphyrin were stable for 4 weeks at 4</w:t>
      </w:r>
      <w:r w:rsidR="005E060A" w:rsidRPr="00760B34">
        <w:rPr>
          <w:rFonts w:asciiTheme="minorBidi" w:hAnsiTheme="minorBidi" w:cstheme="minorBidi"/>
          <w:szCs w:val="20"/>
          <w:vertAlign w:val="superscript"/>
        </w:rPr>
        <w:t>o</w:t>
      </w:r>
      <w:r w:rsidR="005E060A" w:rsidRPr="00760B34">
        <w:rPr>
          <w:rFonts w:asciiTheme="minorBidi" w:hAnsiTheme="minorBidi" w:cstheme="minorBidi"/>
          <w:szCs w:val="20"/>
        </w:rPr>
        <w:t>C in darkness.</w:t>
      </w:r>
    </w:p>
    <w:p w:rsidR="00915397" w:rsidRPr="00760B34" w:rsidRDefault="005E060A" w:rsidP="00760B34">
      <w:pPr>
        <w:jc w:val="right"/>
        <w:rPr>
          <w:rFonts w:asciiTheme="minorBidi" w:hAnsiTheme="minorBidi" w:cstheme="minorBidi"/>
          <w:b/>
          <w:bCs/>
          <w:szCs w:val="20"/>
        </w:rPr>
      </w:pPr>
      <w:r w:rsidRPr="00760B34">
        <w:rPr>
          <w:rFonts w:asciiTheme="minorBidi" w:hAnsiTheme="minorBidi" w:cstheme="minorBidi"/>
          <w:szCs w:val="20"/>
        </w:rPr>
        <w:tab/>
      </w:r>
      <w:r w:rsidR="00FA526F" w:rsidRPr="00760B34">
        <w:rPr>
          <w:rFonts w:asciiTheme="minorBidi" w:hAnsiTheme="minorBidi" w:cstheme="minorBidi"/>
          <w:szCs w:val="20"/>
        </w:rPr>
        <w:t xml:space="preserve"> </w:t>
      </w:r>
      <w:r w:rsidR="00FA526F" w:rsidRPr="00760B34">
        <w:rPr>
          <w:rFonts w:asciiTheme="minorBidi" w:hAnsiTheme="minorBidi" w:cstheme="minorBidi"/>
          <w:szCs w:val="20"/>
        </w:rPr>
        <w:tab/>
        <w:t xml:space="preserve">          </w:t>
      </w:r>
      <w:r w:rsidR="00915397" w:rsidRPr="00760B34">
        <w:rPr>
          <w:rFonts w:asciiTheme="minorBidi" w:hAnsiTheme="minorBidi" w:cstheme="minorBidi"/>
          <w:szCs w:val="20"/>
        </w:rPr>
        <w:t xml:space="preserve"> </w:t>
      </w:r>
      <w:r w:rsidRPr="00760B34">
        <w:rPr>
          <w:rFonts w:asciiTheme="minorBidi" w:hAnsiTheme="minorBidi" w:cstheme="minorBidi"/>
          <w:szCs w:val="20"/>
        </w:rPr>
        <w:t xml:space="preserve">Dimilin ( 25%WP) was used. All </w:t>
      </w:r>
      <w:r w:rsidR="00915397" w:rsidRPr="00760B34">
        <w:rPr>
          <w:rFonts w:asciiTheme="minorBidi" w:hAnsiTheme="minorBidi" w:cstheme="minorBidi"/>
          <w:szCs w:val="20"/>
        </w:rPr>
        <w:t xml:space="preserve">different concentrations </w:t>
      </w:r>
      <w:r w:rsidR="00FA526F" w:rsidRPr="00760B34">
        <w:rPr>
          <w:rFonts w:asciiTheme="minorBidi" w:hAnsiTheme="minorBidi" w:cstheme="minorBidi"/>
          <w:szCs w:val="20"/>
        </w:rPr>
        <w:t xml:space="preserve">were made  using distilled water.  </w:t>
      </w:r>
    </w:p>
    <w:p w:rsidR="00915397" w:rsidRPr="00760B34" w:rsidRDefault="00915397" w:rsidP="00760B34">
      <w:pPr>
        <w:pStyle w:val="Heading1"/>
        <w:widowControl/>
        <w:autoSpaceDE/>
        <w:autoSpaceDN/>
        <w:jc w:val="left"/>
        <w:rPr>
          <w:rFonts w:asciiTheme="minorBidi" w:hAnsiTheme="minorBidi" w:cstheme="minorBidi"/>
          <w:sz w:val="20"/>
          <w:szCs w:val="20"/>
          <w:lang w:val="en-GB"/>
        </w:rPr>
      </w:pPr>
      <w:r w:rsidRPr="00760B34">
        <w:rPr>
          <w:rFonts w:asciiTheme="minorBidi" w:hAnsiTheme="minorBidi" w:cstheme="minorBidi"/>
          <w:b/>
          <w:bCs/>
          <w:sz w:val="20"/>
          <w:szCs w:val="20"/>
          <w:lang w:val="en-GB"/>
        </w:rPr>
        <w:t xml:space="preserve"> </w:t>
      </w:r>
      <w:r w:rsidR="00FA526F" w:rsidRPr="00760B34">
        <w:rPr>
          <w:rFonts w:asciiTheme="minorBidi" w:hAnsiTheme="minorBidi" w:cstheme="minorBidi"/>
          <w:b/>
          <w:bCs/>
          <w:sz w:val="20"/>
          <w:szCs w:val="20"/>
          <w:lang w:val="en-GB"/>
        </w:rPr>
        <w:t xml:space="preserve">Experimental models </w:t>
      </w:r>
      <w:r w:rsidRPr="00760B34">
        <w:rPr>
          <w:rFonts w:asciiTheme="minorBidi" w:hAnsiTheme="minorBidi" w:cstheme="minorBidi"/>
          <w:b/>
          <w:bCs/>
          <w:sz w:val="20"/>
          <w:szCs w:val="20"/>
          <w:lang w:val="en-GB"/>
        </w:rPr>
        <w:t xml:space="preserve"> </w:t>
      </w:r>
    </w:p>
    <w:p w:rsidR="00915397" w:rsidRDefault="00FA526F" w:rsidP="00760B34">
      <w:pPr>
        <w:ind w:firstLine="567"/>
        <w:jc w:val="right"/>
        <w:rPr>
          <w:szCs w:val="20"/>
        </w:rPr>
      </w:pPr>
      <w:r w:rsidRPr="00760B34">
        <w:rPr>
          <w:rFonts w:asciiTheme="minorBidi" w:hAnsiTheme="minorBidi" w:cstheme="minorBidi"/>
          <w:szCs w:val="20"/>
        </w:rPr>
        <w:t xml:space="preserve">            </w:t>
      </w:r>
      <w:r w:rsidR="00915397" w:rsidRPr="00760B34">
        <w:rPr>
          <w:rFonts w:asciiTheme="minorBidi" w:hAnsiTheme="minorBidi" w:cstheme="minorBidi"/>
          <w:szCs w:val="20"/>
        </w:rPr>
        <w:t xml:space="preserve">The </w:t>
      </w:r>
      <w:r w:rsidR="00915397" w:rsidRPr="00760B34">
        <w:rPr>
          <w:rFonts w:asciiTheme="minorBidi" w:hAnsiTheme="minorBidi" w:cstheme="minorBidi"/>
          <w:i/>
          <w:iCs/>
          <w:szCs w:val="20"/>
        </w:rPr>
        <w:t>C. pipiens</w:t>
      </w:r>
      <w:r w:rsidR="00915397" w:rsidRPr="00760B34">
        <w:rPr>
          <w:rFonts w:asciiTheme="minorBidi" w:hAnsiTheme="minorBidi" w:cstheme="minorBidi"/>
          <w:szCs w:val="20"/>
        </w:rPr>
        <w:t xml:space="preserve"> larvae w</w:t>
      </w:r>
      <w:r w:rsidRPr="00760B34">
        <w:rPr>
          <w:rFonts w:asciiTheme="minorBidi" w:hAnsiTheme="minorBidi" w:cstheme="minorBidi"/>
          <w:szCs w:val="20"/>
        </w:rPr>
        <w:t xml:space="preserve">as </w:t>
      </w:r>
      <w:r w:rsidR="00915397" w:rsidRPr="00760B34">
        <w:rPr>
          <w:rFonts w:asciiTheme="minorBidi" w:hAnsiTheme="minorBidi" w:cstheme="minorBidi"/>
          <w:szCs w:val="20"/>
        </w:rPr>
        <w:t xml:space="preserve">obtained from </w:t>
      </w:r>
      <w:r w:rsidRPr="00760B34">
        <w:rPr>
          <w:rFonts w:asciiTheme="minorBidi" w:hAnsiTheme="minorBidi" w:cstheme="minorBidi"/>
          <w:szCs w:val="20"/>
        </w:rPr>
        <w:t xml:space="preserve">Blades Biological Nottingham and colonized in the </w:t>
      </w:r>
      <w:r>
        <w:rPr>
          <w:szCs w:val="20"/>
        </w:rPr>
        <w:t xml:space="preserve">Department of life Sciences; </w:t>
      </w:r>
      <w:r w:rsidR="0057032F">
        <w:rPr>
          <w:szCs w:val="20"/>
        </w:rPr>
        <w:t>Nottingham Trent University, Clifton Lane, Nottingham, and NG11 8NS, UK.. The assessment of toxicity was based on the mortality of the tested larvae</w:t>
      </w:r>
      <w:r w:rsidR="00815BB7">
        <w:rPr>
          <w:szCs w:val="20"/>
        </w:rPr>
        <w:t xml:space="preserve"> after irradiation. The early fourth</w:t>
      </w:r>
      <w:r w:rsidR="00434484">
        <w:rPr>
          <w:szCs w:val="20"/>
        </w:rPr>
        <w:t xml:space="preserve"> </w:t>
      </w:r>
      <w:r w:rsidR="00815BB7">
        <w:rPr>
          <w:szCs w:val="20"/>
        </w:rPr>
        <w:t xml:space="preserve">and second larval instars of </w:t>
      </w:r>
      <w:r w:rsidR="00815BB7" w:rsidRPr="00815BB7">
        <w:rPr>
          <w:i/>
          <w:iCs/>
          <w:szCs w:val="20"/>
        </w:rPr>
        <w:t>C. pipiens</w:t>
      </w:r>
      <w:r w:rsidR="00815BB7">
        <w:rPr>
          <w:szCs w:val="20"/>
        </w:rPr>
        <w:t xml:space="preserve">  were exposed for 24 hours to different concentrations of  hematoporpyrin and/or the dimilin in distilled water. Another groups of larvae were left without any treatments, or  treated with hemtoporphyrin without irradiation, or exposed only to light without any treatment and served as control. Four replicates of the desired concentrations of each compound were prepared </w:t>
      </w:r>
      <w:r w:rsidR="00785B83">
        <w:rPr>
          <w:szCs w:val="20"/>
        </w:rPr>
        <w:t xml:space="preserve">, in 250 ml glass beaker. Each beaker  received 25 larvae of second or early fourth larval instars according to the experiment carried out. </w:t>
      </w:r>
      <w:r w:rsidR="00915397">
        <w:rPr>
          <w:szCs w:val="20"/>
        </w:rPr>
        <w:t xml:space="preserve"> The percentages of mortality were plotted against the tested concentrations and the LC</w:t>
      </w:r>
      <w:r w:rsidR="00915397">
        <w:rPr>
          <w:szCs w:val="20"/>
          <w:vertAlign w:val="subscript"/>
        </w:rPr>
        <w:t>50</w:t>
      </w:r>
      <w:r w:rsidR="00915397">
        <w:rPr>
          <w:szCs w:val="20"/>
        </w:rPr>
        <w:t xml:space="preserve"> and the LC</w:t>
      </w:r>
      <w:r>
        <w:rPr>
          <w:szCs w:val="20"/>
          <w:vertAlign w:val="subscript"/>
        </w:rPr>
        <w:t>2</w:t>
      </w:r>
      <w:r w:rsidR="00915397">
        <w:rPr>
          <w:szCs w:val="20"/>
          <w:vertAlign w:val="subscript"/>
        </w:rPr>
        <w:t>5</w:t>
      </w:r>
      <w:r w:rsidR="00915397">
        <w:rPr>
          <w:szCs w:val="20"/>
        </w:rPr>
        <w:t xml:space="preserve"> values were determined graphically. Mortality percentages were corrected by Abbott’s formula (1925), if the mortality in control exceeds </w:t>
      </w:r>
      <w:r>
        <w:rPr>
          <w:szCs w:val="20"/>
        </w:rPr>
        <w:t>5</w:t>
      </w:r>
      <w:r w:rsidR="00915397">
        <w:rPr>
          <w:szCs w:val="20"/>
        </w:rPr>
        <w:t xml:space="preserve">%. </w:t>
      </w:r>
      <w:r>
        <w:rPr>
          <w:szCs w:val="20"/>
        </w:rPr>
        <w:t>These  LC</w:t>
      </w:r>
      <w:r>
        <w:rPr>
          <w:szCs w:val="20"/>
          <w:vertAlign w:val="subscript"/>
        </w:rPr>
        <w:t>25</w:t>
      </w:r>
      <w:r>
        <w:rPr>
          <w:szCs w:val="20"/>
        </w:rPr>
        <w:t xml:space="preserve"> values were chosen for further studies.</w:t>
      </w:r>
      <w:r w:rsidR="0092526F">
        <w:rPr>
          <w:szCs w:val="20"/>
        </w:rPr>
        <w:t xml:space="preserve"> </w:t>
      </w:r>
    </w:p>
    <w:p w:rsidR="00915397" w:rsidRPr="00785B83" w:rsidRDefault="00915397" w:rsidP="00760B34">
      <w:pPr>
        <w:ind w:left="180"/>
        <w:jc w:val="right"/>
        <w:rPr>
          <w:rFonts w:ascii="Arial" w:hAnsi="Arial" w:cs="Arial"/>
          <w:b/>
          <w:bCs/>
          <w:szCs w:val="20"/>
        </w:rPr>
      </w:pPr>
      <w:r>
        <w:rPr>
          <w:b/>
          <w:bCs/>
          <w:szCs w:val="20"/>
        </w:rPr>
        <w:t>Joint</w:t>
      </w:r>
      <w:r w:rsidR="0092526F">
        <w:rPr>
          <w:b/>
          <w:bCs/>
          <w:szCs w:val="20"/>
        </w:rPr>
        <w:t xml:space="preserve"> </w:t>
      </w:r>
      <w:r w:rsidRPr="00785B83">
        <w:rPr>
          <w:rFonts w:ascii="Arial" w:hAnsi="Arial" w:cs="Arial"/>
          <w:b/>
          <w:bCs/>
          <w:szCs w:val="20"/>
        </w:rPr>
        <w:t>action of</w:t>
      </w:r>
      <w:r w:rsidR="00785B83">
        <w:rPr>
          <w:rFonts w:ascii="Arial" w:hAnsi="Arial" w:cs="Arial"/>
          <w:b/>
          <w:bCs/>
          <w:szCs w:val="20"/>
        </w:rPr>
        <w:t xml:space="preserve"> </w:t>
      </w:r>
      <w:r w:rsidR="00785B83" w:rsidRPr="00785B83">
        <w:rPr>
          <w:rFonts w:ascii="Arial" w:hAnsi="Arial" w:cs="Arial"/>
          <w:b/>
          <w:bCs/>
          <w:szCs w:val="20"/>
        </w:rPr>
        <w:t>The Hematoporphyrin and</w:t>
      </w:r>
      <w:r w:rsidR="00785B83">
        <w:rPr>
          <w:rFonts w:ascii="Arial" w:hAnsi="Arial" w:cs="Arial"/>
          <w:b/>
          <w:bCs/>
          <w:szCs w:val="20"/>
        </w:rPr>
        <w:t xml:space="preserve"> the</w:t>
      </w:r>
      <w:r w:rsidR="00785B83" w:rsidRPr="00785B83">
        <w:rPr>
          <w:rFonts w:ascii="Arial" w:hAnsi="Arial" w:cs="Arial"/>
          <w:b/>
          <w:bCs/>
          <w:szCs w:val="20"/>
        </w:rPr>
        <w:t xml:space="preserve"> dimilin </w:t>
      </w:r>
      <w:r w:rsidRPr="00785B83">
        <w:rPr>
          <w:rFonts w:ascii="Arial" w:hAnsi="Arial" w:cs="Arial"/>
          <w:b/>
          <w:bCs/>
          <w:szCs w:val="20"/>
        </w:rPr>
        <w:t xml:space="preserve">mixture against </w:t>
      </w:r>
      <w:r w:rsidRPr="00785B83">
        <w:rPr>
          <w:rFonts w:ascii="Arial" w:hAnsi="Arial" w:cs="Arial"/>
          <w:b/>
          <w:bCs/>
          <w:i/>
          <w:iCs/>
          <w:szCs w:val="20"/>
        </w:rPr>
        <w:t>C</w:t>
      </w:r>
      <w:r w:rsidR="00785B83">
        <w:rPr>
          <w:rFonts w:ascii="Arial" w:hAnsi="Arial" w:cs="Arial"/>
          <w:b/>
          <w:bCs/>
          <w:i/>
          <w:iCs/>
          <w:szCs w:val="20"/>
        </w:rPr>
        <w:t xml:space="preserve">ulex </w:t>
      </w:r>
      <w:r w:rsidRPr="00785B83">
        <w:rPr>
          <w:rFonts w:ascii="Arial" w:hAnsi="Arial" w:cs="Arial"/>
          <w:b/>
          <w:bCs/>
          <w:i/>
          <w:iCs/>
          <w:szCs w:val="20"/>
        </w:rPr>
        <w:t>pipiens</w:t>
      </w:r>
      <w:r w:rsidRPr="00785B83">
        <w:rPr>
          <w:rFonts w:ascii="Arial" w:hAnsi="Arial" w:cs="Arial"/>
          <w:b/>
          <w:bCs/>
          <w:szCs w:val="20"/>
        </w:rPr>
        <w:t xml:space="preserve"> larvae.</w:t>
      </w:r>
    </w:p>
    <w:p w:rsidR="00915397" w:rsidRPr="00760B34" w:rsidRDefault="00915397" w:rsidP="00760B34">
      <w:pPr>
        <w:ind w:left="180"/>
        <w:jc w:val="right"/>
        <w:rPr>
          <w:rFonts w:asciiTheme="minorBidi" w:hAnsiTheme="minorBidi" w:cstheme="minorBidi"/>
          <w:szCs w:val="20"/>
        </w:rPr>
      </w:pPr>
      <w:r w:rsidRPr="00760B34">
        <w:rPr>
          <w:rFonts w:asciiTheme="minorBidi" w:hAnsiTheme="minorBidi" w:cstheme="minorBidi"/>
          <w:szCs w:val="20"/>
        </w:rPr>
        <w:t xml:space="preserve">     </w:t>
      </w:r>
      <w:r w:rsidR="001E7C91" w:rsidRPr="00760B34">
        <w:rPr>
          <w:rFonts w:asciiTheme="minorBidi" w:hAnsiTheme="minorBidi" w:cstheme="minorBidi"/>
          <w:szCs w:val="20"/>
        </w:rPr>
        <w:t xml:space="preserve">The Hematoporphyrin and dimilin </w:t>
      </w:r>
      <w:r w:rsidRPr="00760B34">
        <w:rPr>
          <w:rFonts w:asciiTheme="minorBidi" w:hAnsiTheme="minorBidi" w:cstheme="minorBidi"/>
          <w:szCs w:val="20"/>
        </w:rPr>
        <w:t xml:space="preserve"> were mixed in equal volumes at concentrations equivalent to the LC</w:t>
      </w:r>
      <w:r w:rsidR="001E7C91" w:rsidRPr="00760B34">
        <w:rPr>
          <w:rFonts w:asciiTheme="minorBidi" w:hAnsiTheme="minorBidi" w:cstheme="minorBidi"/>
          <w:szCs w:val="20"/>
          <w:vertAlign w:val="subscript"/>
        </w:rPr>
        <w:t xml:space="preserve">25 </w:t>
      </w:r>
      <w:r w:rsidRPr="00760B34">
        <w:rPr>
          <w:rFonts w:asciiTheme="minorBidi" w:hAnsiTheme="minorBidi" w:cstheme="minorBidi"/>
          <w:szCs w:val="20"/>
        </w:rPr>
        <w:t>values. The expected mortalities of the mixtures were calculated by the summation of the expected</w:t>
      </w:r>
      <w:r w:rsidR="00785B83" w:rsidRPr="00760B34">
        <w:rPr>
          <w:rFonts w:asciiTheme="minorBidi" w:hAnsiTheme="minorBidi" w:cstheme="minorBidi"/>
          <w:szCs w:val="20"/>
        </w:rPr>
        <w:t xml:space="preserve"> </w:t>
      </w:r>
      <w:r w:rsidRPr="00760B34">
        <w:rPr>
          <w:rFonts w:asciiTheme="minorBidi" w:hAnsiTheme="minorBidi" w:cstheme="minorBidi"/>
          <w:szCs w:val="20"/>
        </w:rPr>
        <w:t xml:space="preserve"> mortalities of the toxicant used in the mixture.</w:t>
      </w:r>
    </w:p>
    <w:p w:rsidR="00915397" w:rsidRPr="00760B34" w:rsidRDefault="00915397" w:rsidP="00760B34">
      <w:pPr>
        <w:ind w:left="180"/>
        <w:jc w:val="right"/>
        <w:rPr>
          <w:rFonts w:asciiTheme="minorBidi" w:hAnsiTheme="minorBidi" w:cstheme="minorBidi"/>
          <w:szCs w:val="20"/>
        </w:rPr>
      </w:pPr>
      <w:r w:rsidRPr="00760B34">
        <w:rPr>
          <w:rFonts w:asciiTheme="minorBidi" w:hAnsiTheme="minorBidi" w:cstheme="minorBidi"/>
          <w:szCs w:val="20"/>
        </w:rPr>
        <w:t>The equation of Sun and Johnson (1960) was used as follows:</w:t>
      </w:r>
    </w:p>
    <w:p w:rsidR="00915397" w:rsidRPr="00760B34" w:rsidRDefault="00D054F9" w:rsidP="00760B34">
      <w:pPr>
        <w:ind w:left="180"/>
        <w:jc w:val="right"/>
        <w:rPr>
          <w:rFonts w:asciiTheme="minorBidi" w:hAnsiTheme="minorBidi" w:cstheme="minorBidi"/>
          <w:szCs w:val="20"/>
        </w:rPr>
      </w:pPr>
      <w:r w:rsidRPr="00D054F9">
        <w:rPr>
          <w:rFonts w:asciiTheme="minorBidi" w:hAnsiTheme="minorBidi" w:cstheme="minorBidi"/>
          <w:noProof/>
        </w:rPr>
        <w:pict>
          <v:line id="_x0000_s1029" style="position:absolute;left:0;text-align:left;flip:y;z-index:251661312" from="549pt,0" to="774pt,9pt"/>
        </w:pict>
      </w:r>
      <w:r w:rsidR="00915397" w:rsidRPr="00760B34">
        <w:rPr>
          <w:rFonts w:asciiTheme="minorBidi" w:hAnsiTheme="minorBidi" w:cstheme="minorBidi"/>
          <w:b/>
          <w:bCs/>
          <w:szCs w:val="20"/>
        </w:rPr>
        <w:t>Co toxicity Factor</w:t>
      </w:r>
      <w:r w:rsidR="00915397" w:rsidRPr="00760B34">
        <w:rPr>
          <w:rFonts w:asciiTheme="minorBidi" w:hAnsiTheme="minorBidi" w:cstheme="minorBidi"/>
          <w:szCs w:val="20"/>
        </w:rPr>
        <w:t xml:space="preserve">  =100 x   </w:t>
      </w:r>
      <w:r w:rsidR="00915397" w:rsidRPr="00760B34">
        <w:rPr>
          <w:rFonts w:asciiTheme="minorBidi" w:hAnsiTheme="minorBidi" w:cstheme="minorBidi"/>
          <w:szCs w:val="20"/>
          <w:u w:val="single"/>
        </w:rPr>
        <w:t>Observed % mortality- Expected % mortality</w:t>
      </w:r>
    </w:p>
    <w:p w:rsidR="00915397" w:rsidRPr="00760B34" w:rsidRDefault="00915397" w:rsidP="00760B34">
      <w:pPr>
        <w:ind w:left="180"/>
        <w:jc w:val="right"/>
        <w:rPr>
          <w:rFonts w:asciiTheme="minorBidi" w:hAnsiTheme="minorBidi" w:cstheme="minorBidi"/>
          <w:szCs w:val="20"/>
        </w:rPr>
      </w:pPr>
      <w:r w:rsidRPr="00760B34">
        <w:rPr>
          <w:rFonts w:asciiTheme="minorBidi" w:hAnsiTheme="minorBidi" w:cstheme="minorBidi"/>
          <w:szCs w:val="20"/>
        </w:rPr>
        <w:t xml:space="preserve">                                                                   Expected % mortality</w:t>
      </w:r>
    </w:p>
    <w:p w:rsidR="00915397" w:rsidRPr="00760B34" w:rsidRDefault="00915397" w:rsidP="00760B34">
      <w:pPr>
        <w:ind w:left="180"/>
        <w:jc w:val="right"/>
        <w:rPr>
          <w:rFonts w:asciiTheme="minorBidi" w:hAnsiTheme="minorBidi" w:cstheme="minorBidi"/>
          <w:szCs w:val="20"/>
        </w:rPr>
      </w:pPr>
      <w:r w:rsidRPr="00760B34">
        <w:rPr>
          <w:rFonts w:asciiTheme="minorBidi" w:hAnsiTheme="minorBidi" w:cstheme="minorBidi"/>
          <w:szCs w:val="20"/>
        </w:rPr>
        <w:t>This factor differentiates the results into three categories as follows:</w:t>
      </w:r>
    </w:p>
    <w:p w:rsidR="00915397" w:rsidRPr="00760B34" w:rsidRDefault="00915397" w:rsidP="00760B34">
      <w:pPr>
        <w:ind w:left="-180"/>
        <w:jc w:val="right"/>
        <w:rPr>
          <w:rFonts w:asciiTheme="minorBidi" w:hAnsiTheme="minorBidi" w:cstheme="minorBidi"/>
          <w:szCs w:val="20"/>
        </w:rPr>
      </w:pPr>
      <w:r w:rsidRPr="00760B34">
        <w:rPr>
          <w:rFonts w:asciiTheme="minorBidi" w:hAnsiTheme="minorBidi" w:cstheme="minorBidi"/>
          <w:szCs w:val="20"/>
        </w:rPr>
        <w:t>A positive factor of 20 or more is considered as indicating potentiation.</w:t>
      </w:r>
    </w:p>
    <w:p w:rsidR="00915397" w:rsidRPr="00760B34" w:rsidRDefault="00915397" w:rsidP="00760B34">
      <w:pPr>
        <w:ind w:left="-180"/>
        <w:jc w:val="right"/>
        <w:rPr>
          <w:rFonts w:asciiTheme="minorBidi" w:hAnsiTheme="minorBidi" w:cstheme="minorBidi"/>
          <w:szCs w:val="20"/>
        </w:rPr>
      </w:pPr>
      <w:r w:rsidRPr="00760B34">
        <w:rPr>
          <w:rFonts w:asciiTheme="minorBidi" w:hAnsiTheme="minorBidi" w:cstheme="minorBidi"/>
          <w:szCs w:val="20"/>
        </w:rPr>
        <w:t xml:space="preserve">A negative factor of –20 or more indicating antagonism.  </w:t>
      </w:r>
    </w:p>
    <w:p w:rsidR="00915397" w:rsidRPr="00760B34" w:rsidRDefault="00915397" w:rsidP="00760B34">
      <w:pPr>
        <w:ind w:left="-180"/>
        <w:jc w:val="right"/>
        <w:rPr>
          <w:rFonts w:asciiTheme="minorBidi" w:hAnsiTheme="minorBidi" w:cstheme="minorBidi"/>
          <w:szCs w:val="20"/>
        </w:rPr>
      </w:pPr>
      <w:r w:rsidRPr="00760B34">
        <w:rPr>
          <w:rFonts w:asciiTheme="minorBidi" w:hAnsiTheme="minorBidi" w:cstheme="minorBidi"/>
          <w:szCs w:val="20"/>
        </w:rPr>
        <w:t xml:space="preserve">The intermediate values between –20 and +2o indicating additive effect. </w:t>
      </w:r>
    </w:p>
    <w:p w:rsidR="00915397" w:rsidRPr="00760B34" w:rsidRDefault="00915397" w:rsidP="00760B34">
      <w:pPr>
        <w:ind w:left="180"/>
        <w:jc w:val="right"/>
        <w:rPr>
          <w:rFonts w:asciiTheme="minorBidi" w:hAnsiTheme="minorBidi" w:cstheme="minorBidi"/>
          <w:szCs w:val="20"/>
        </w:rPr>
      </w:pPr>
      <w:r w:rsidRPr="00760B34">
        <w:rPr>
          <w:rFonts w:asciiTheme="minorBidi" w:hAnsiTheme="minorBidi" w:cstheme="minorBidi"/>
          <w:szCs w:val="20"/>
        </w:rPr>
        <w:t>It must be noted that, all these experiments were c</w:t>
      </w:r>
      <w:r w:rsidR="001E7C91" w:rsidRPr="00760B34">
        <w:rPr>
          <w:rFonts w:asciiTheme="minorBidi" w:hAnsiTheme="minorBidi" w:cstheme="minorBidi"/>
          <w:szCs w:val="20"/>
        </w:rPr>
        <w:t>onducted at room temperature (20</w:t>
      </w:r>
      <w:r w:rsidRPr="00760B34">
        <w:rPr>
          <w:rFonts w:asciiTheme="minorBidi" w:hAnsiTheme="minorBidi" w:cstheme="minorBidi"/>
          <w:szCs w:val="20"/>
        </w:rPr>
        <w:t>±</w:t>
      </w:r>
      <w:r w:rsidR="001E7C91" w:rsidRPr="00760B34">
        <w:rPr>
          <w:rFonts w:asciiTheme="minorBidi" w:hAnsiTheme="minorBidi" w:cstheme="minorBidi"/>
          <w:szCs w:val="20"/>
        </w:rPr>
        <w:t>5</w:t>
      </w:r>
      <w:r w:rsidRPr="00760B34">
        <w:rPr>
          <w:rFonts w:asciiTheme="minorBidi" w:hAnsiTheme="minorBidi" w:cstheme="minorBidi"/>
          <w:szCs w:val="20"/>
        </w:rPr>
        <w:t xml:space="preserve"> </w:t>
      </w:r>
      <w:r w:rsidRPr="00760B34">
        <w:rPr>
          <w:rFonts w:asciiTheme="minorBidi" w:hAnsiTheme="minorBidi" w:cstheme="minorBidi"/>
          <w:szCs w:val="20"/>
          <w:vertAlign w:val="superscript"/>
        </w:rPr>
        <w:t>o</w:t>
      </w:r>
      <w:r w:rsidRPr="00760B34">
        <w:rPr>
          <w:rFonts w:asciiTheme="minorBidi" w:hAnsiTheme="minorBidi" w:cstheme="minorBidi"/>
          <w:szCs w:val="20"/>
        </w:rPr>
        <w:t>C).</w:t>
      </w:r>
    </w:p>
    <w:p w:rsidR="001E7C91" w:rsidRPr="00760B34" w:rsidRDefault="001E7C91" w:rsidP="00760B34">
      <w:pPr>
        <w:pStyle w:val="Heading3"/>
        <w:jc w:val="right"/>
        <w:rPr>
          <w:rFonts w:asciiTheme="minorBidi" w:hAnsiTheme="minorBidi" w:cstheme="minorBidi"/>
          <w:szCs w:val="20"/>
        </w:rPr>
      </w:pPr>
      <w:r w:rsidRPr="00760B34">
        <w:rPr>
          <w:rFonts w:asciiTheme="minorBidi" w:hAnsiTheme="minorBidi" w:cstheme="minorBidi"/>
          <w:color w:val="auto"/>
          <w:szCs w:val="20"/>
        </w:rPr>
        <w:t>Irradiation</w:t>
      </w:r>
      <w:r w:rsidR="0092526F" w:rsidRPr="00760B34">
        <w:rPr>
          <w:rFonts w:asciiTheme="minorBidi" w:hAnsiTheme="minorBidi" w:cstheme="minorBidi"/>
          <w:color w:val="auto"/>
          <w:szCs w:val="20"/>
        </w:rPr>
        <w:t xml:space="preserve"> </w:t>
      </w:r>
    </w:p>
    <w:p w:rsidR="001E7C91" w:rsidRPr="00760B34" w:rsidRDefault="001E7C91" w:rsidP="00760B34">
      <w:pPr>
        <w:pStyle w:val="Heading4"/>
        <w:ind w:left="567" w:firstLine="567"/>
        <w:jc w:val="right"/>
        <w:rPr>
          <w:rFonts w:asciiTheme="minorBidi" w:hAnsiTheme="minorBidi" w:cstheme="minorBidi"/>
          <w:szCs w:val="20"/>
        </w:rPr>
      </w:pPr>
      <w:r w:rsidRPr="00760B34">
        <w:rPr>
          <w:rFonts w:asciiTheme="minorBidi" w:hAnsiTheme="minorBidi" w:cstheme="minorBidi"/>
          <w:i w:val="0"/>
          <w:iCs w:val="0"/>
          <w:color w:val="auto"/>
          <w:szCs w:val="20"/>
        </w:rPr>
        <w:t xml:space="preserve">         </w:t>
      </w:r>
      <w:r w:rsidRPr="00760B34">
        <w:rPr>
          <w:rFonts w:asciiTheme="minorBidi" w:hAnsiTheme="minorBidi" w:cstheme="minorBidi"/>
          <w:b w:val="0"/>
          <w:bCs w:val="0"/>
          <w:i w:val="0"/>
          <w:iCs w:val="0"/>
          <w:color w:val="auto"/>
          <w:szCs w:val="20"/>
        </w:rPr>
        <w:t>The artificial light source used was a Philips UVA lamp (HP3148/A, half body, 8TL09 lamps of 40W each, from Philips Electronics, Croydon) with an average output of 6.8x10</w:t>
      </w:r>
      <w:r w:rsidRPr="00760B34">
        <w:rPr>
          <w:rFonts w:asciiTheme="minorBidi" w:hAnsiTheme="minorBidi" w:cstheme="minorBidi"/>
          <w:b w:val="0"/>
          <w:bCs w:val="0"/>
          <w:i w:val="0"/>
          <w:iCs w:val="0"/>
          <w:color w:val="auto"/>
          <w:szCs w:val="20"/>
          <w:vertAlign w:val="superscript"/>
        </w:rPr>
        <w:t>5</w:t>
      </w:r>
      <w:r w:rsidRPr="00760B34">
        <w:rPr>
          <w:rFonts w:asciiTheme="minorBidi" w:hAnsiTheme="minorBidi" w:cstheme="minorBidi"/>
          <w:b w:val="0"/>
          <w:bCs w:val="0"/>
          <w:i w:val="0"/>
          <w:iCs w:val="0"/>
          <w:color w:val="auto"/>
          <w:szCs w:val="20"/>
        </w:rPr>
        <w:t>W cm</w:t>
      </w:r>
      <w:r w:rsidRPr="00760B34">
        <w:rPr>
          <w:rFonts w:asciiTheme="minorBidi" w:hAnsiTheme="minorBidi" w:cstheme="minorBidi"/>
          <w:b w:val="0"/>
          <w:bCs w:val="0"/>
          <w:i w:val="0"/>
          <w:iCs w:val="0"/>
          <w:color w:val="auto"/>
          <w:szCs w:val="20"/>
          <w:vertAlign w:val="superscript"/>
        </w:rPr>
        <w:t>-2</w:t>
      </w:r>
      <w:r w:rsidRPr="00760B34">
        <w:rPr>
          <w:rFonts w:asciiTheme="minorBidi" w:hAnsiTheme="minorBidi" w:cstheme="minorBidi"/>
          <w:b w:val="0"/>
          <w:bCs w:val="0"/>
          <w:i w:val="0"/>
          <w:iCs w:val="0"/>
          <w:color w:val="auto"/>
          <w:szCs w:val="20"/>
        </w:rPr>
        <w:t xml:space="preserve"> UVA and 6.1x10</w:t>
      </w:r>
      <w:r w:rsidRPr="00760B34">
        <w:rPr>
          <w:rFonts w:asciiTheme="minorBidi" w:hAnsiTheme="minorBidi" w:cstheme="minorBidi"/>
          <w:b w:val="0"/>
          <w:bCs w:val="0"/>
          <w:i w:val="0"/>
          <w:iCs w:val="0"/>
          <w:color w:val="auto"/>
          <w:szCs w:val="20"/>
          <w:vertAlign w:val="superscript"/>
        </w:rPr>
        <w:t xml:space="preserve">3  </w:t>
      </w:r>
      <w:r w:rsidRPr="00760B34">
        <w:rPr>
          <w:rFonts w:asciiTheme="minorBidi" w:hAnsiTheme="minorBidi" w:cstheme="minorBidi"/>
          <w:b w:val="0"/>
          <w:bCs w:val="0"/>
          <w:i w:val="0"/>
          <w:iCs w:val="0"/>
          <w:color w:val="auto"/>
          <w:szCs w:val="20"/>
        </w:rPr>
        <w:t>Wcm</w:t>
      </w:r>
      <w:r w:rsidRPr="00760B34">
        <w:rPr>
          <w:rFonts w:asciiTheme="minorBidi" w:hAnsiTheme="minorBidi" w:cstheme="minorBidi"/>
          <w:b w:val="0"/>
          <w:bCs w:val="0"/>
          <w:i w:val="0"/>
          <w:iCs w:val="0"/>
          <w:color w:val="auto"/>
          <w:szCs w:val="20"/>
          <w:vertAlign w:val="superscript"/>
        </w:rPr>
        <w:t>-2</w:t>
      </w:r>
      <w:r w:rsidRPr="00760B34">
        <w:rPr>
          <w:rFonts w:asciiTheme="minorBidi" w:hAnsiTheme="minorBidi" w:cstheme="minorBidi"/>
          <w:b w:val="0"/>
          <w:bCs w:val="0"/>
          <w:i w:val="0"/>
          <w:iCs w:val="0"/>
          <w:color w:val="auto"/>
          <w:szCs w:val="20"/>
        </w:rPr>
        <w:t>UVB. The light intensity of the lamp was measured using a Glen Spectral Radiometer, model 1680B. The irradiation dose used was 7783 Jm-</w:t>
      </w:r>
      <w:r w:rsidRPr="00760B34">
        <w:rPr>
          <w:rFonts w:asciiTheme="minorBidi" w:hAnsiTheme="minorBidi" w:cstheme="minorBidi"/>
          <w:b w:val="0"/>
          <w:bCs w:val="0"/>
          <w:i w:val="0"/>
          <w:iCs w:val="0"/>
          <w:color w:val="auto"/>
          <w:szCs w:val="20"/>
          <w:vertAlign w:val="superscript"/>
        </w:rPr>
        <w:t>2</w:t>
      </w:r>
      <w:r w:rsidRPr="00760B34">
        <w:rPr>
          <w:rFonts w:asciiTheme="minorBidi" w:hAnsiTheme="minorBidi" w:cstheme="minorBidi"/>
          <w:szCs w:val="20"/>
        </w:rPr>
        <w:t>.</w:t>
      </w:r>
    </w:p>
    <w:p w:rsidR="00915397" w:rsidRPr="00760B34" w:rsidRDefault="00D054F9" w:rsidP="00760B34">
      <w:pPr>
        <w:ind w:left="180"/>
        <w:jc w:val="right"/>
        <w:rPr>
          <w:rFonts w:asciiTheme="minorBidi" w:hAnsiTheme="minorBidi" w:cstheme="minorBidi"/>
          <w:b/>
          <w:bCs/>
        </w:rPr>
      </w:pPr>
      <w:r>
        <w:rPr>
          <w:rFonts w:asciiTheme="minorBidi" w:hAnsiTheme="minorBidi" w:cstheme="minorBidi"/>
          <w:b/>
          <w:bCs/>
          <w:noProof/>
        </w:rPr>
        <w:pict>
          <v:line id="_x0000_s1028" style="position:absolute;left:0;text-align:left;flip:y;z-index:251660288" from="549pt,0" to="774pt,9pt"/>
        </w:pict>
      </w:r>
      <w:r w:rsidR="00915397" w:rsidRPr="00760B34">
        <w:rPr>
          <w:rFonts w:asciiTheme="minorBidi" w:hAnsiTheme="minorBidi" w:cstheme="minorBidi"/>
          <w:b/>
          <w:bCs/>
        </w:rPr>
        <w:t>The statistical analysis</w:t>
      </w:r>
    </w:p>
    <w:p w:rsidR="00915397" w:rsidRPr="00760B34" w:rsidRDefault="00915397" w:rsidP="00760B34">
      <w:pPr>
        <w:tabs>
          <w:tab w:val="left" w:pos="180"/>
        </w:tabs>
        <w:jc w:val="right"/>
        <w:rPr>
          <w:rFonts w:asciiTheme="minorBidi" w:hAnsiTheme="minorBidi" w:cstheme="minorBidi"/>
          <w:szCs w:val="20"/>
        </w:rPr>
      </w:pPr>
      <w:r w:rsidRPr="00760B34">
        <w:rPr>
          <w:rFonts w:asciiTheme="minorBidi" w:hAnsiTheme="minorBidi" w:cstheme="minorBidi"/>
          <w:szCs w:val="20"/>
        </w:rPr>
        <w:t>The statistical analysis was performed using t-test.</w:t>
      </w:r>
    </w:p>
    <w:p w:rsidR="00915397" w:rsidRPr="00760B34" w:rsidRDefault="00915397" w:rsidP="00760B34">
      <w:pPr>
        <w:jc w:val="right"/>
        <w:rPr>
          <w:rFonts w:asciiTheme="minorBidi" w:hAnsiTheme="minorBidi" w:cstheme="minorBidi"/>
          <w:szCs w:val="20"/>
        </w:rPr>
      </w:pPr>
      <w:r w:rsidRPr="00760B34">
        <w:rPr>
          <w:rFonts w:asciiTheme="minorBidi" w:hAnsiTheme="minorBidi" w:cstheme="minorBidi"/>
          <w:b/>
          <w:bCs/>
          <w:szCs w:val="20"/>
        </w:rPr>
        <w:t xml:space="preserve">                                                                 RESULTS</w:t>
      </w:r>
      <w:r w:rsidR="0092526F" w:rsidRPr="00760B34">
        <w:rPr>
          <w:rFonts w:asciiTheme="minorBidi" w:hAnsiTheme="minorBidi" w:cstheme="minorBidi"/>
          <w:b/>
          <w:bCs/>
          <w:szCs w:val="20"/>
        </w:rPr>
        <w:t xml:space="preserve"> </w:t>
      </w:r>
      <w:r w:rsidRPr="00760B34">
        <w:rPr>
          <w:rFonts w:asciiTheme="minorBidi" w:hAnsiTheme="minorBidi" w:cstheme="minorBidi"/>
          <w:szCs w:val="20"/>
        </w:rPr>
        <w:tab/>
      </w:r>
    </w:p>
    <w:p w:rsidR="00662822" w:rsidRPr="00760B34" w:rsidRDefault="00915397" w:rsidP="00760B34">
      <w:pPr>
        <w:ind w:firstLine="567"/>
        <w:jc w:val="right"/>
        <w:rPr>
          <w:rFonts w:asciiTheme="minorBidi" w:hAnsiTheme="minorBidi" w:cstheme="minorBidi"/>
          <w:szCs w:val="20"/>
        </w:rPr>
      </w:pPr>
      <w:r w:rsidRPr="00760B34">
        <w:rPr>
          <w:rFonts w:asciiTheme="minorBidi" w:hAnsiTheme="minorBidi" w:cstheme="minorBidi"/>
          <w:szCs w:val="20"/>
        </w:rPr>
        <w:t xml:space="preserve">Results of the present experiments are shown in the tables (1, 2, 3, 4 </w:t>
      </w:r>
      <w:r w:rsidR="00785B83" w:rsidRPr="00760B34">
        <w:rPr>
          <w:rFonts w:asciiTheme="minorBidi" w:hAnsiTheme="minorBidi" w:cstheme="minorBidi"/>
          <w:szCs w:val="20"/>
        </w:rPr>
        <w:t xml:space="preserve">, 5, 6 </w:t>
      </w:r>
      <w:r w:rsidRPr="00760B34">
        <w:rPr>
          <w:rFonts w:asciiTheme="minorBidi" w:hAnsiTheme="minorBidi" w:cstheme="minorBidi"/>
          <w:szCs w:val="20"/>
        </w:rPr>
        <w:t xml:space="preserve">and </w:t>
      </w:r>
      <w:r w:rsidR="00785B83" w:rsidRPr="00760B34">
        <w:rPr>
          <w:rFonts w:asciiTheme="minorBidi" w:hAnsiTheme="minorBidi" w:cstheme="minorBidi"/>
          <w:szCs w:val="20"/>
        </w:rPr>
        <w:t>7</w:t>
      </w:r>
      <w:r w:rsidRPr="00760B34">
        <w:rPr>
          <w:rFonts w:asciiTheme="minorBidi" w:hAnsiTheme="minorBidi" w:cstheme="minorBidi"/>
          <w:szCs w:val="20"/>
        </w:rPr>
        <w:t>) and graphically illustrated in figure</w:t>
      </w:r>
      <w:r w:rsidR="0098723C" w:rsidRPr="00760B34">
        <w:rPr>
          <w:rFonts w:asciiTheme="minorBidi" w:hAnsiTheme="minorBidi" w:cstheme="minorBidi"/>
          <w:szCs w:val="20"/>
        </w:rPr>
        <w:t>s</w:t>
      </w:r>
      <w:r w:rsidRPr="00760B34">
        <w:rPr>
          <w:rFonts w:asciiTheme="minorBidi" w:hAnsiTheme="minorBidi" w:cstheme="minorBidi"/>
          <w:szCs w:val="20"/>
        </w:rPr>
        <w:t xml:space="preserve">  (1</w:t>
      </w:r>
      <w:r w:rsidR="0098723C" w:rsidRPr="00760B34">
        <w:rPr>
          <w:rFonts w:asciiTheme="minorBidi" w:hAnsiTheme="minorBidi" w:cstheme="minorBidi"/>
          <w:szCs w:val="20"/>
        </w:rPr>
        <w:t>, 2,3,4, 5,6 and 7</w:t>
      </w:r>
      <w:r w:rsidRPr="00760B34">
        <w:rPr>
          <w:rFonts w:asciiTheme="minorBidi" w:hAnsiTheme="minorBidi" w:cstheme="minorBidi"/>
          <w:szCs w:val="20"/>
        </w:rPr>
        <w:t>). The obtained data in</w:t>
      </w:r>
      <w:r w:rsidR="0098723C" w:rsidRPr="00760B34">
        <w:rPr>
          <w:rFonts w:asciiTheme="minorBidi" w:hAnsiTheme="minorBidi" w:cstheme="minorBidi"/>
          <w:szCs w:val="20"/>
        </w:rPr>
        <w:t>dicated that the larvicidal activity of  hematoporphyrin and dimilin was relatively high to the 2</w:t>
      </w:r>
      <w:r w:rsidR="0098723C" w:rsidRPr="00760B34">
        <w:rPr>
          <w:rFonts w:asciiTheme="minorBidi" w:hAnsiTheme="minorBidi" w:cstheme="minorBidi"/>
          <w:szCs w:val="20"/>
          <w:vertAlign w:val="superscript"/>
        </w:rPr>
        <w:t>nd</w:t>
      </w:r>
      <w:r w:rsidR="0098723C" w:rsidRPr="00760B34">
        <w:rPr>
          <w:rFonts w:asciiTheme="minorBidi" w:hAnsiTheme="minorBidi" w:cstheme="minorBidi"/>
          <w:szCs w:val="20"/>
        </w:rPr>
        <w:t xml:space="preserve">  larval  instar followed by 4</w:t>
      </w:r>
      <w:r w:rsidR="0098723C" w:rsidRPr="00760B34">
        <w:rPr>
          <w:rFonts w:asciiTheme="minorBidi" w:hAnsiTheme="minorBidi" w:cstheme="minorBidi"/>
          <w:szCs w:val="20"/>
          <w:vertAlign w:val="superscript"/>
        </w:rPr>
        <w:t>th</w:t>
      </w:r>
      <w:r w:rsidR="0098723C" w:rsidRPr="00760B34">
        <w:rPr>
          <w:rFonts w:asciiTheme="minorBidi" w:hAnsiTheme="minorBidi" w:cstheme="minorBidi"/>
          <w:szCs w:val="20"/>
        </w:rPr>
        <w:t xml:space="preserve"> larval instar as shown in  the </w:t>
      </w:r>
      <w:r w:rsidRPr="00760B34">
        <w:rPr>
          <w:rFonts w:asciiTheme="minorBidi" w:hAnsiTheme="minorBidi" w:cstheme="minorBidi"/>
          <w:szCs w:val="20"/>
        </w:rPr>
        <w:t xml:space="preserve"> table (1</w:t>
      </w:r>
      <w:r w:rsidR="0098723C" w:rsidRPr="00760B34">
        <w:rPr>
          <w:rFonts w:asciiTheme="minorBidi" w:hAnsiTheme="minorBidi" w:cstheme="minorBidi"/>
          <w:szCs w:val="20"/>
        </w:rPr>
        <w:t>, 2, 3&amp;4</w:t>
      </w:r>
      <w:r w:rsidRPr="00760B34">
        <w:rPr>
          <w:rFonts w:asciiTheme="minorBidi" w:hAnsiTheme="minorBidi" w:cstheme="minorBidi"/>
          <w:szCs w:val="20"/>
        </w:rPr>
        <w:t>)</w:t>
      </w:r>
      <w:r w:rsidR="0098723C" w:rsidRPr="00760B34">
        <w:rPr>
          <w:rFonts w:asciiTheme="minorBidi" w:hAnsiTheme="minorBidi" w:cstheme="minorBidi"/>
          <w:szCs w:val="20"/>
        </w:rPr>
        <w:t xml:space="preserve"> and in figures ( 1, 2,3 &amp;4)</w:t>
      </w:r>
      <w:r w:rsidR="002D2E90" w:rsidRPr="00760B34">
        <w:rPr>
          <w:rFonts w:asciiTheme="minorBidi" w:hAnsiTheme="minorBidi" w:cstheme="minorBidi"/>
          <w:szCs w:val="20"/>
        </w:rPr>
        <w:t>. Also the data showed high level of activity of both</w:t>
      </w:r>
      <w:r w:rsidR="0092526F" w:rsidRPr="00760B34">
        <w:rPr>
          <w:rFonts w:asciiTheme="minorBidi" w:hAnsiTheme="minorBidi" w:cstheme="minorBidi"/>
          <w:szCs w:val="20"/>
        </w:rPr>
        <w:t xml:space="preserve"> hematoporphyrin and the dimilin against </w:t>
      </w:r>
      <w:r w:rsidR="0092526F" w:rsidRPr="00760B34">
        <w:rPr>
          <w:rFonts w:asciiTheme="minorBidi" w:hAnsiTheme="minorBidi" w:cstheme="minorBidi"/>
          <w:i/>
          <w:iCs/>
          <w:szCs w:val="20"/>
        </w:rPr>
        <w:t xml:space="preserve">C. pipiens </w:t>
      </w:r>
      <w:r w:rsidR="0092526F" w:rsidRPr="00760B34">
        <w:rPr>
          <w:rFonts w:asciiTheme="minorBidi" w:hAnsiTheme="minorBidi" w:cstheme="minorBidi"/>
          <w:szCs w:val="20"/>
        </w:rPr>
        <w:t>larvae at the different time of exposure based on the obtained LC</w:t>
      </w:r>
      <w:r w:rsidR="0092526F" w:rsidRPr="00760B34">
        <w:rPr>
          <w:rFonts w:asciiTheme="minorBidi" w:hAnsiTheme="minorBidi" w:cstheme="minorBidi"/>
          <w:szCs w:val="20"/>
          <w:vertAlign w:val="subscript"/>
        </w:rPr>
        <w:t>50</w:t>
      </w:r>
      <w:r w:rsidRPr="00760B34">
        <w:rPr>
          <w:rFonts w:asciiTheme="minorBidi" w:hAnsiTheme="minorBidi" w:cstheme="minorBidi"/>
          <w:szCs w:val="20"/>
        </w:rPr>
        <w:t xml:space="preserve"> </w:t>
      </w:r>
      <w:r w:rsidR="0092526F" w:rsidRPr="00760B34">
        <w:rPr>
          <w:rFonts w:asciiTheme="minorBidi" w:hAnsiTheme="minorBidi" w:cstheme="minorBidi"/>
          <w:szCs w:val="20"/>
        </w:rPr>
        <w:t>. The</w:t>
      </w:r>
      <w:r w:rsidR="002D2E90" w:rsidRPr="00760B34">
        <w:rPr>
          <w:rFonts w:asciiTheme="minorBidi" w:hAnsiTheme="minorBidi" w:cstheme="minorBidi"/>
          <w:szCs w:val="20"/>
        </w:rPr>
        <w:t xml:space="preserve"> </w:t>
      </w:r>
      <w:r w:rsidR="0092526F" w:rsidRPr="00760B34">
        <w:rPr>
          <w:rFonts w:asciiTheme="minorBidi" w:hAnsiTheme="minorBidi" w:cstheme="minorBidi"/>
          <w:szCs w:val="20"/>
        </w:rPr>
        <w:t xml:space="preserve">response is dose- dependent </w:t>
      </w:r>
      <w:r w:rsidR="00662822" w:rsidRPr="00760B34">
        <w:rPr>
          <w:rFonts w:asciiTheme="minorBidi" w:hAnsiTheme="minorBidi" w:cstheme="minorBidi"/>
          <w:szCs w:val="20"/>
        </w:rPr>
        <w:t>, i. e. the larval mortality was increased with the increase of concentration. The obtained data indicate also the following:</w:t>
      </w:r>
    </w:p>
    <w:p w:rsidR="00D20838" w:rsidRPr="00760B34" w:rsidRDefault="00662822" w:rsidP="00760B34">
      <w:pPr>
        <w:ind w:firstLine="567"/>
        <w:jc w:val="right"/>
        <w:rPr>
          <w:rFonts w:asciiTheme="minorBidi" w:hAnsiTheme="minorBidi" w:cstheme="minorBidi"/>
          <w:szCs w:val="20"/>
        </w:rPr>
      </w:pPr>
      <w:r w:rsidRPr="00760B34">
        <w:rPr>
          <w:rFonts w:asciiTheme="minorBidi" w:hAnsiTheme="minorBidi" w:cstheme="minorBidi"/>
          <w:szCs w:val="20"/>
        </w:rPr>
        <w:t>- There is a significant increase in larval mortality</w:t>
      </w:r>
      <w:r w:rsidR="00D20838" w:rsidRPr="00760B34">
        <w:rPr>
          <w:rFonts w:asciiTheme="minorBidi" w:hAnsiTheme="minorBidi" w:cstheme="minorBidi"/>
          <w:szCs w:val="20"/>
        </w:rPr>
        <w:t xml:space="preserve"> due to the combined effect of the hematoporphyrin and the dimilin when they were used simultaneously ( p&lt;0.05).</w:t>
      </w:r>
    </w:p>
    <w:p w:rsidR="00D20838" w:rsidRPr="00760B34" w:rsidRDefault="00D20838" w:rsidP="00760B34">
      <w:pPr>
        <w:ind w:firstLine="567"/>
        <w:jc w:val="right"/>
        <w:rPr>
          <w:rFonts w:asciiTheme="minorBidi" w:hAnsiTheme="minorBidi" w:cstheme="minorBidi"/>
          <w:szCs w:val="20"/>
        </w:rPr>
      </w:pPr>
      <w:r w:rsidRPr="00760B34">
        <w:rPr>
          <w:rFonts w:asciiTheme="minorBidi" w:hAnsiTheme="minorBidi" w:cstheme="minorBidi"/>
          <w:szCs w:val="20"/>
        </w:rPr>
        <w:t xml:space="preserve">- The mixture of  both </w:t>
      </w:r>
      <w:r w:rsidR="00662822" w:rsidRPr="00760B34">
        <w:rPr>
          <w:rFonts w:asciiTheme="minorBidi" w:hAnsiTheme="minorBidi" w:cstheme="minorBidi"/>
          <w:szCs w:val="20"/>
        </w:rPr>
        <w:t xml:space="preserve"> </w:t>
      </w:r>
      <w:r w:rsidRPr="00760B34">
        <w:rPr>
          <w:rFonts w:asciiTheme="minorBidi" w:hAnsiTheme="minorBidi" w:cstheme="minorBidi"/>
          <w:szCs w:val="20"/>
        </w:rPr>
        <w:t>hematoporphyrin and dimilin</w:t>
      </w:r>
      <w:r w:rsidR="00662822" w:rsidRPr="00760B34">
        <w:rPr>
          <w:rFonts w:asciiTheme="minorBidi" w:hAnsiTheme="minorBidi" w:cstheme="minorBidi"/>
          <w:szCs w:val="20"/>
        </w:rPr>
        <w:t xml:space="preserve"> </w:t>
      </w:r>
      <w:r w:rsidRPr="00760B34">
        <w:rPr>
          <w:rFonts w:asciiTheme="minorBidi" w:hAnsiTheme="minorBidi" w:cstheme="minorBidi"/>
          <w:szCs w:val="20"/>
        </w:rPr>
        <w:t>gave potentiation effect with both larval instars after exposure to 24&amp;48 hours and additive effect with increase of time of exposure ( i. e. 72 hour).</w:t>
      </w:r>
    </w:p>
    <w:p w:rsidR="00915397" w:rsidRPr="00760B34" w:rsidRDefault="00D20838" w:rsidP="00760B34">
      <w:pPr>
        <w:ind w:firstLine="567"/>
        <w:jc w:val="right"/>
        <w:rPr>
          <w:rFonts w:asciiTheme="minorBidi" w:hAnsiTheme="minorBidi" w:cstheme="minorBidi"/>
          <w:szCs w:val="20"/>
        </w:rPr>
      </w:pPr>
      <w:r w:rsidRPr="00760B34">
        <w:rPr>
          <w:rFonts w:asciiTheme="minorBidi" w:hAnsiTheme="minorBidi" w:cstheme="minorBidi"/>
          <w:szCs w:val="20"/>
        </w:rPr>
        <w:t>- A significant higher mortality was obtained with second larval instar  than in fourth instar as indicated from Table (5).</w:t>
      </w:r>
    </w:p>
    <w:p w:rsidR="007C144E" w:rsidRPr="00760B34" w:rsidRDefault="007C144E" w:rsidP="00760B34">
      <w:pPr>
        <w:ind w:firstLine="567"/>
        <w:jc w:val="right"/>
        <w:rPr>
          <w:rFonts w:asciiTheme="minorBidi" w:hAnsiTheme="minorBidi" w:cstheme="minorBidi"/>
          <w:szCs w:val="20"/>
        </w:rPr>
      </w:pPr>
      <w:r w:rsidRPr="00760B34">
        <w:rPr>
          <w:rFonts w:asciiTheme="minorBidi" w:hAnsiTheme="minorBidi" w:cstheme="minorBidi"/>
          <w:szCs w:val="20"/>
        </w:rPr>
        <w:lastRenderedPageBreak/>
        <w:t>- Higher significant mortality resulted from pre- treating the larvae with dimilin then that pre-treating with hematoporphyrin for the fourth and second larval instars ( p&lt; 0.05).</w:t>
      </w:r>
    </w:p>
    <w:p w:rsidR="007C144E" w:rsidRPr="00760B34" w:rsidRDefault="007C144E" w:rsidP="00760B34">
      <w:pPr>
        <w:ind w:firstLine="567"/>
        <w:jc w:val="right"/>
        <w:rPr>
          <w:rFonts w:asciiTheme="minorBidi" w:hAnsiTheme="minorBidi" w:cstheme="minorBidi"/>
          <w:szCs w:val="20"/>
        </w:rPr>
      </w:pPr>
      <w:r w:rsidRPr="00760B34">
        <w:rPr>
          <w:rFonts w:asciiTheme="minorBidi" w:hAnsiTheme="minorBidi" w:cstheme="minorBidi"/>
          <w:szCs w:val="20"/>
        </w:rPr>
        <w:t>- The effect of pre- treating of larvae with dimilin indicating a potentiation effect as in Table (6).</w:t>
      </w:r>
    </w:p>
    <w:p w:rsidR="007C144E" w:rsidRPr="00760B34" w:rsidRDefault="007C144E" w:rsidP="00760B34">
      <w:pPr>
        <w:ind w:firstLine="567"/>
        <w:jc w:val="right"/>
        <w:rPr>
          <w:rFonts w:asciiTheme="minorBidi" w:hAnsiTheme="minorBidi" w:cstheme="minorBidi"/>
          <w:szCs w:val="20"/>
        </w:rPr>
      </w:pPr>
      <w:r w:rsidRPr="00760B34">
        <w:rPr>
          <w:rFonts w:asciiTheme="minorBidi" w:hAnsiTheme="minorBidi" w:cstheme="minorBidi"/>
          <w:szCs w:val="20"/>
        </w:rPr>
        <w:t>-The effect of pre-treating larvae with hematoporphyrin indicating additive effect as in Table (6).</w:t>
      </w:r>
    </w:p>
    <w:p w:rsidR="007C144E" w:rsidRPr="00760B34" w:rsidRDefault="007C144E" w:rsidP="00760B34">
      <w:pPr>
        <w:ind w:firstLine="567"/>
        <w:jc w:val="right"/>
        <w:rPr>
          <w:rFonts w:asciiTheme="minorBidi" w:hAnsiTheme="minorBidi" w:cstheme="minorBidi"/>
          <w:szCs w:val="20"/>
        </w:rPr>
      </w:pPr>
      <w:r w:rsidRPr="00760B34">
        <w:rPr>
          <w:rFonts w:asciiTheme="minorBidi" w:hAnsiTheme="minorBidi" w:cstheme="minorBidi"/>
          <w:szCs w:val="20"/>
        </w:rPr>
        <w:t>- The combined effect of hematoporphyrin with dimilin for prolonged time of exposure indicating only additive effect Table (7).</w:t>
      </w:r>
    </w:p>
    <w:p w:rsidR="00B030C6" w:rsidRPr="00760B34" w:rsidRDefault="00B030C6" w:rsidP="00760B34">
      <w:pPr>
        <w:pStyle w:val="Title"/>
        <w:rPr>
          <w:rFonts w:asciiTheme="minorBidi" w:hAnsiTheme="minorBidi" w:cstheme="minorBidi"/>
          <w:sz w:val="20"/>
          <w:szCs w:val="20"/>
        </w:rPr>
      </w:pPr>
      <w:r w:rsidRPr="00760B34">
        <w:rPr>
          <w:rFonts w:asciiTheme="minorBidi" w:hAnsiTheme="minorBidi" w:cstheme="minorBidi"/>
          <w:sz w:val="20"/>
          <w:szCs w:val="20"/>
        </w:rPr>
        <w:t>DISCUSSION</w:t>
      </w:r>
    </w:p>
    <w:p w:rsidR="00B030C6" w:rsidRPr="00760B34" w:rsidRDefault="00B030C6" w:rsidP="00760B34">
      <w:pPr>
        <w:pStyle w:val="Title"/>
        <w:rPr>
          <w:rFonts w:asciiTheme="minorBidi" w:hAnsiTheme="minorBidi" w:cstheme="minorBidi"/>
          <w:b w:val="0"/>
          <w:bCs w:val="0"/>
          <w:sz w:val="20"/>
          <w:szCs w:val="20"/>
        </w:rPr>
      </w:pPr>
    </w:p>
    <w:p w:rsidR="00B030C6" w:rsidRPr="00760B34" w:rsidRDefault="00B030C6" w:rsidP="00760B34">
      <w:pPr>
        <w:ind w:firstLine="567"/>
        <w:jc w:val="right"/>
        <w:rPr>
          <w:rFonts w:asciiTheme="minorBidi" w:hAnsiTheme="minorBidi" w:cstheme="minorBidi"/>
          <w:szCs w:val="20"/>
        </w:rPr>
      </w:pPr>
      <w:r w:rsidRPr="00760B34">
        <w:rPr>
          <w:rFonts w:asciiTheme="minorBidi" w:hAnsiTheme="minorBidi" w:cstheme="minorBidi"/>
          <w:szCs w:val="20"/>
        </w:rPr>
        <w:tab/>
        <w:t xml:space="preserve"> The obtained data indicated the following:</w:t>
      </w:r>
    </w:p>
    <w:p w:rsidR="00B030C6" w:rsidRPr="00760B34" w:rsidRDefault="00B030C6" w:rsidP="00760B34">
      <w:pPr>
        <w:ind w:firstLine="567"/>
        <w:jc w:val="right"/>
        <w:rPr>
          <w:rFonts w:asciiTheme="minorBidi" w:hAnsiTheme="minorBidi" w:cstheme="minorBidi"/>
          <w:szCs w:val="20"/>
        </w:rPr>
      </w:pPr>
      <w:r w:rsidRPr="00760B34">
        <w:rPr>
          <w:rFonts w:asciiTheme="minorBidi" w:hAnsiTheme="minorBidi" w:cstheme="minorBidi"/>
          <w:szCs w:val="20"/>
        </w:rPr>
        <w:t xml:space="preserve">      1-</w:t>
      </w:r>
      <w:r w:rsidR="00F139F8" w:rsidRPr="00760B34">
        <w:rPr>
          <w:rFonts w:asciiTheme="minorBidi" w:hAnsiTheme="minorBidi" w:cstheme="minorBidi"/>
          <w:szCs w:val="20"/>
        </w:rPr>
        <w:t xml:space="preserve">Hematoporphyrin induce high level of knockdown action in a short time to the treated </w:t>
      </w:r>
      <w:r w:rsidR="00F139F8" w:rsidRPr="00760B34">
        <w:rPr>
          <w:rFonts w:asciiTheme="minorBidi" w:hAnsiTheme="minorBidi" w:cstheme="minorBidi"/>
          <w:i/>
          <w:iCs/>
          <w:szCs w:val="20"/>
        </w:rPr>
        <w:t>C. pipiens</w:t>
      </w:r>
      <w:r w:rsidR="00F139F8" w:rsidRPr="00760B34">
        <w:rPr>
          <w:rFonts w:asciiTheme="minorBidi" w:hAnsiTheme="minorBidi" w:cstheme="minorBidi"/>
          <w:szCs w:val="20"/>
        </w:rPr>
        <w:t xml:space="preserve"> larvae.  11 mM/ ml resulted in 100% mortality after  one hour of irradiation with UV light. The difference in efficacy between hematoporphyrin and  dimilin may be due to the different modes and sites of action of the two larvicides. However, both hematoporphyrin and  dimilin </w:t>
      </w:r>
      <w:r w:rsidR="00613D0B" w:rsidRPr="00760B34">
        <w:rPr>
          <w:rFonts w:asciiTheme="minorBidi" w:hAnsiTheme="minorBidi" w:cstheme="minorBidi"/>
          <w:szCs w:val="20"/>
        </w:rPr>
        <w:t>are considered as a larvicidal agent. The obtained result was found to be in agreement with that o</w:t>
      </w:r>
      <w:r w:rsidR="00F139F8" w:rsidRPr="00760B34">
        <w:rPr>
          <w:rFonts w:asciiTheme="minorBidi" w:hAnsiTheme="minorBidi" w:cstheme="minorBidi"/>
          <w:szCs w:val="20"/>
        </w:rPr>
        <w:t>f</w:t>
      </w:r>
      <w:r w:rsidR="00613D0B" w:rsidRPr="00760B34">
        <w:rPr>
          <w:rFonts w:asciiTheme="minorBidi" w:hAnsiTheme="minorBidi" w:cstheme="minorBidi"/>
          <w:szCs w:val="20"/>
        </w:rPr>
        <w:t xml:space="preserve"> Ben Amor </w:t>
      </w:r>
      <w:r w:rsidR="00613D0B" w:rsidRPr="00760B34">
        <w:rPr>
          <w:rFonts w:asciiTheme="minorBidi" w:hAnsiTheme="minorBidi" w:cstheme="minorBidi"/>
          <w:i/>
          <w:iCs/>
          <w:szCs w:val="20"/>
        </w:rPr>
        <w:t>et al</w:t>
      </w:r>
      <w:r w:rsidR="00613D0B" w:rsidRPr="00760B34">
        <w:rPr>
          <w:rFonts w:asciiTheme="minorBidi" w:hAnsiTheme="minorBidi" w:cstheme="minorBidi"/>
          <w:szCs w:val="20"/>
        </w:rPr>
        <w:t xml:space="preserve">. (1998) who pointed out that porphyrins may  represent a class of useful photoinsecticidal agents in particular, hematoporphyrin </w:t>
      </w:r>
    </w:p>
    <w:p w:rsidR="00D20838" w:rsidRPr="00760B34" w:rsidRDefault="007C144E" w:rsidP="00760B34">
      <w:pPr>
        <w:ind w:firstLine="567"/>
        <w:jc w:val="right"/>
        <w:rPr>
          <w:rFonts w:asciiTheme="minorBidi" w:hAnsiTheme="minorBidi" w:cstheme="minorBidi"/>
          <w:szCs w:val="20"/>
        </w:rPr>
      </w:pPr>
      <w:r w:rsidRPr="00760B34">
        <w:rPr>
          <w:rFonts w:asciiTheme="minorBidi" w:hAnsiTheme="minorBidi" w:cstheme="minorBidi"/>
          <w:szCs w:val="20"/>
        </w:rPr>
        <w:t xml:space="preserve"> </w:t>
      </w:r>
      <w:r w:rsidR="00613D0B" w:rsidRPr="00760B34">
        <w:rPr>
          <w:rFonts w:asciiTheme="minorBidi" w:hAnsiTheme="minorBidi" w:cstheme="minorBidi"/>
          <w:szCs w:val="20"/>
        </w:rPr>
        <w:t xml:space="preserve">appeared to be very active against at least two fly species, namely </w:t>
      </w:r>
      <w:r w:rsidR="00613D0B" w:rsidRPr="00760B34">
        <w:rPr>
          <w:rFonts w:asciiTheme="minorBidi" w:hAnsiTheme="minorBidi" w:cstheme="minorBidi"/>
          <w:i/>
          <w:iCs/>
          <w:szCs w:val="20"/>
        </w:rPr>
        <w:t>Ceratitis capitata</w:t>
      </w:r>
      <w:r w:rsidR="00613D0B" w:rsidRPr="00760B34">
        <w:rPr>
          <w:rFonts w:asciiTheme="minorBidi" w:hAnsiTheme="minorBidi" w:cstheme="minorBidi"/>
          <w:szCs w:val="20"/>
        </w:rPr>
        <w:t xml:space="preserve"> and </w:t>
      </w:r>
      <w:r w:rsidR="00613D0B" w:rsidRPr="00760B34">
        <w:rPr>
          <w:rFonts w:asciiTheme="minorBidi" w:hAnsiTheme="minorBidi" w:cstheme="minorBidi"/>
          <w:i/>
          <w:iCs/>
          <w:szCs w:val="20"/>
        </w:rPr>
        <w:t>Bactrocera oleae</w:t>
      </w:r>
      <w:r w:rsidR="00613D0B" w:rsidRPr="00760B34">
        <w:rPr>
          <w:rFonts w:asciiTheme="minorBidi" w:hAnsiTheme="minorBidi" w:cstheme="minorBidi"/>
          <w:szCs w:val="20"/>
        </w:rPr>
        <w:t xml:space="preserve"> </w:t>
      </w:r>
      <w:r w:rsidR="00920DBB" w:rsidRPr="00760B34">
        <w:rPr>
          <w:rFonts w:asciiTheme="minorBidi" w:hAnsiTheme="minorBidi" w:cstheme="minorBidi"/>
          <w:szCs w:val="20"/>
        </w:rPr>
        <w:t xml:space="preserve">which are known to induce severe damage in various agricultural areas worldwide. The obtained larvicidal action of dimilin is in agreement with that of McKague and Pridmore ( 1978) who concluded that the ingestion of Juvenile hormone or insect growth regulator be larvae of the rain bows trout disrupt the normal process of cuticle depostion. They also stated that the higher doses greatly reduced emergence of adults. Also this result is in accordance with the findings of other workers Jakob, ( 1972), Mulla </w:t>
      </w:r>
      <w:r w:rsidR="00920DBB" w:rsidRPr="00760B34">
        <w:rPr>
          <w:rFonts w:asciiTheme="minorBidi" w:hAnsiTheme="minorBidi" w:cstheme="minorBidi"/>
          <w:i/>
          <w:iCs/>
          <w:szCs w:val="20"/>
        </w:rPr>
        <w:t>et al.</w:t>
      </w:r>
      <w:r w:rsidR="00920DBB" w:rsidRPr="00760B34">
        <w:rPr>
          <w:rFonts w:asciiTheme="minorBidi" w:hAnsiTheme="minorBidi" w:cstheme="minorBidi"/>
          <w:szCs w:val="20"/>
        </w:rPr>
        <w:t>( 1975)</w:t>
      </w:r>
      <w:r w:rsidR="00C97BD0" w:rsidRPr="00760B34">
        <w:rPr>
          <w:rFonts w:asciiTheme="minorBidi" w:hAnsiTheme="minorBidi" w:cstheme="minorBidi"/>
          <w:szCs w:val="20"/>
        </w:rPr>
        <w:t xml:space="preserve"> and Baker  </w:t>
      </w:r>
      <w:r w:rsidR="00C97BD0" w:rsidRPr="00760B34">
        <w:rPr>
          <w:rFonts w:asciiTheme="minorBidi" w:hAnsiTheme="minorBidi" w:cstheme="minorBidi"/>
          <w:i/>
          <w:iCs/>
          <w:szCs w:val="20"/>
        </w:rPr>
        <w:t>et al.</w:t>
      </w:r>
      <w:r w:rsidR="00C97BD0" w:rsidRPr="00760B34">
        <w:rPr>
          <w:rFonts w:asciiTheme="minorBidi" w:hAnsiTheme="minorBidi" w:cstheme="minorBidi"/>
          <w:szCs w:val="20"/>
        </w:rPr>
        <w:t xml:space="preserve"> ( 1997).</w:t>
      </w:r>
    </w:p>
    <w:p w:rsidR="00F60F80" w:rsidRPr="00760B34" w:rsidRDefault="00C97BD0" w:rsidP="00760B34">
      <w:pPr>
        <w:ind w:firstLine="567"/>
        <w:jc w:val="right"/>
        <w:rPr>
          <w:rFonts w:asciiTheme="minorBidi" w:hAnsiTheme="minorBidi" w:cstheme="minorBidi"/>
          <w:szCs w:val="20"/>
        </w:rPr>
      </w:pPr>
      <w:r w:rsidRPr="00760B34">
        <w:rPr>
          <w:rFonts w:asciiTheme="minorBidi" w:hAnsiTheme="minorBidi" w:cstheme="minorBidi"/>
          <w:szCs w:val="20"/>
        </w:rPr>
        <w:t xml:space="preserve">     2- </w:t>
      </w:r>
      <w:r w:rsidR="00F60F80" w:rsidRPr="00760B34">
        <w:rPr>
          <w:rFonts w:asciiTheme="minorBidi" w:hAnsiTheme="minorBidi" w:cstheme="minorBidi"/>
          <w:szCs w:val="20"/>
        </w:rPr>
        <w:t>High doses is needed to achieve the best control levels, however, the joint action improve such situation.</w:t>
      </w:r>
    </w:p>
    <w:p w:rsidR="00F60F80" w:rsidRPr="00760B34" w:rsidRDefault="00F60F80" w:rsidP="00760B34">
      <w:pPr>
        <w:ind w:firstLine="567"/>
        <w:jc w:val="right"/>
        <w:rPr>
          <w:rFonts w:asciiTheme="minorBidi" w:hAnsiTheme="minorBidi" w:cstheme="minorBidi"/>
          <w:szCs w:val="20"/>
        </w:rPr>
      </w:pPr>
      <w:r w:rsidRPr="00760B34">
        <w:rPr>
          <w:rFonts w:asciiTheme="minorBidi" w:hAnsiTheme="minorBidi" w:cstheme="minorBidi"/>
          <w:szCs w:val="20"/>
        </w:rPr>
        <w:t xml:space="preserve">     3-The present study confirms the additive or synergistic (potentiation effect) interaction between the hematoporphyyrin and dimlin against </w:t>
      </w:r>
      <w:r w:rsidRPr="00760B34">
        <w:rPr>
          <w:rFonts w:asciiTheme="minorBidi" w:hAnsiTheme="minorBidi" w:cstheme="minorBidi"/>
          <w:i/>
          <w:iCs/>
          <w:szCs w:val="20"/>
        </w:rPr>
        <w:t xml:space="preserve">C. pipiens </w:t>
      </w:r>
      <w:r w:rsidR="00A37623" w:rsidRPr="00760B34">
        <w:rPr>
          <w:rFonts w:asciiTheme="minorBidi" w:hAnsiTheme="minorBidi" w:cstheme="minorBidi"/>
          <w:szCs w:val="20"/>
        </w:rPr>
        <w:t>larvae. These results confirm the findings of Sokolova and Ganu</w:t>
      </w:r>
      <w:r w:rsidR="00676FCB" w:rsidRPr="00760B34">
        <w:rPr>
          <w:rFonts w:asciiTheme="minorBidi" w:hAnsiTheme="minorBidi" w:cstheme="minorBidi"/>
          <w:szCs w:val="20"/>
        </w:rPr>
        <w:t xml:space="preserve">shkina (1982) who concluded that in certain condition the effect of combinations between some </w:t>
      </w:r>
      <w:r w:rsidR="00676FCB" w:rsidRPr="00760B34">
        <w:rPr>
          <w:rFonts w:asciiTheme="minorBidi" w:hAnsiTheme="minorBidi" w:cstheme="minorBidi"/>
          <w:i/>
          <w:iCs/>
          <w:szCs w:val="20"/>
        </w:rPr>
        <w:t xml:space="preserve">Bacillus thuringiensis </w:t>
      </w:r>
      <w:r w:rsidR="00676FCB" w:rsidRPr="00760B34">
        <w:rPr>
          <w:rFonts w:asciiTheme="minorBidi" w:hAnsiTheme="minorBidi" w:cstheme="minorBidi"/>
          <w:szCs w:val="20"/>
        </w:rPr>
        <w:t xml:space="preserve">var. </w:t>
      </w:r>
      <w:r w:rsidR="00676FCB" w:rsidRPr="00760B34">
        <w:rPr>
          <w:rFonts w:asciiTheme="minorBidi" w:hAnsiTheme="minorBidi" w:cstheme="minorBidi"/>
          <w:i/>
          <w:iCs/>
          <w:szCs w:val="20"/>
        </w:rPr>
        <w:t xml:space="preserve">israelensis </w:t>
      </w:r>
      <w:r w:rsidR="00676FCB" w:rsidRPr="00760B34">
        <w:rPr>
          <w:rFonts w:asciiTheme="minorBidi" w:hAnsiTheme="minorBidi" w:cstheme="minorBidi"/>
          <w:szCs w:val="20"/>
        </w:rPr>
        <w:t xml:space="preserve">H-14 formulations and the growth regulator Methoprene was higher than </w:t>
      </w:r>
      <w:r w:rsidR="00722D80" w:rsidRPr="00760B34">
        <w:rPr>
          <w:rFonts w:asciiTheme="minorBidi" w:hAnsiTheme="minorBidi" w:cstheme="minorBidi"/>
          <w:szCs w:val="20"/>
        </w:rPr>
        <w:t>when they were used separately , and that their effectiveness depend on the kind of preparation of Bactimos used, the dosage applied and the species composition of the mosquito treated.</w:t>
      </w:r>
    </w:p>
    <w:p w:rsidR="00722D80" w:rsidRPr="00760B34" w:rsidRDefault="00722D80" w:rsidP="00760B34">
      <w:pPr>
        <w:ind w:firstLine="567"/>
        <w:jc w:val="right"/>
        <w:rPr>
          <w:rFonts w:asciiTheme="minorBidi" w:hAnsiTheme="minorBidi" w:cstheme="minorBidi"/>
          <w:szCs w:val="20"/>
        </w:rPr>
      </w:pPr>
      <w:r w:rsidRPr="00760B34">
        <w:rPr>
          <w:rFonts w:asciiTheme="minorBidi" w:hAnsiTheme="minorBidi" w:cstheme="minorBidi"/>
          <w:szCs w:val="20"/>
        </w:rPr>
        <w:t xml:space="preserve">        Our results clearly indicated that the synergistic effect might be due to the following:</w:t>
      </w:r>
    </w:p>
    <w:p w:rsidR="00722D80" w:rsidRPr="00760B34" w:rsidRDefault="00722D80" w:rsidP="00760B34">
      <w:pPr>
        <w:ind w:firstLine="567"/>
        <w:jc w:val="right"/>
        <w:rPr>
          <w:rFonts w:asciiTheme="minorBidi" w:hAnsiTheme="minorBidi" w:cstheme="minorBidi"/>
          <w:szCs w:val="20"/>
        </w:rPr>
      </w:pPr>
      <w:r w:rsidRPr="00760B34">
        <w:rPr>
          <w:rFonts w:asciiTheme="minorBidi" w:hAnsiTheme="minorBidi" w:cstheme="minorBidi"/>
          <w:szCs w:val="20"/>
        </w:rPr>
        <w:t xml:space="preserve">        1-The decrease in tolerance of the </w:t>
      </w:r>
      <w:r w:rsidRPr="00760B34">
        <w:rPr>
          <w:rFonts w:asciiTheme="minorBidi" w:hAnsiTheme="minorBidi" w:cstheme="minorBidi"/>
          <w:i/>
          <w:iCs/>
          <w:szCs w:val="20"/>
        </w:rPr>
        <w:t xml:space="preserve">Culex pipiens </w:t>
      </w:r>
      <w:r w:rsidRPr="00760B34">
        <w:rPr>
          <w:rFonts w:asciiTheme="minorBidi" w:hAnsiTheme="minorBidi" w:cstheme="minorBidi"/>
          <w:szCs w:val="20"/>
        </w:rPr>
        <w:t>larvae to the rapid insecticidal action of hematoporphyrin which can be correlated with its mode of photo inducing irreversible damage</w:t>
      </w:r>
      <w:r w:rsidR="00AB2E5F" w:rsidRPr="00760B34">
        <w:rPr>
          <w:rFonts w:asciiTheme="minorBidi" w:hAnsiTheme="minorBidi" w:cstheme="minorBidi"/>
          <w:szCs w:val="20"/>
        </w:rPr>
        <w:t xml:space="preserve"> to biological systems.</w:t>
      </w:r>
    </w:p>
    <w:p w:rsidR="00AB2E5F" w:rsidRPr="00760B34" w:rsidRDefault="00AB2E5F" w:rsidP="00760B34">
      <w:pPr>
        <w:ind w:firstLine="567"/>
        <w:jc w:val="right"/>
        <w:rPr>
          <w:rFonts w:asciiTheme="minorBidi" w:hAnsiTheme="minorBidi" w:cstheme="minorBidi"/>
          <w:szCs w:val="20"/>
        </w:rPr>
      </w:pPr>
      <w:r w:rsidRPr="00760B34">
        <w:rPr>
          <w:rFonts w:asciiTheme="minorBidi" w:hAnsiTheme="minorBidi" w:cstheme="minorBidi"/>
          <w:szCs w:val="20"/>
        </w:rPr>
        <w:t xml:space="preserve">        2-Both hemotoporphyrin and dimilin may enhance the activity of each other against the tested larvae.</w:t>
      </w:r>
    </w:p>
    <w:p w:rsidR="00915397" w:rsidRPr="00760B34" w:rsidRDefault="00AB2E5F" w:rsidP="00760B34">
      <w:pPr>
        <w:ind w:firstLine="567"/>
        <w:jc w:val="right"/>
        <w:rPr>
          <w:rFonts w:asciiTheme="minorBidi" w:hAnsiTheme="minorBidi" w:cstheme="minorBidi"/>
          <w:szCs w:val="20"/>
        </w:rPr>
      </w:pPr>
      <w:r w:rsidRPr="00760B34">
        <w:rPr>
          <w:rFonts w:asciiTheme="minorBidi" w:hAnsiTheme="minorBidi" w:cstheme="minorBidi"/>
          <w:szCs w:val="20"/>
        </w:rPr>
        <w:t xml:space="preserve">         In summary, the obtained results confirmed the insecticidal efficiency of the combined effect of  the photoinsecticide  hematoporphyrin and the insect growth regulator dimilin against </w:t>
      </w:r>
      <w:r w:rsidRPr="00760B34">
        <w:rPr>
          <w:rFonts w:asciiTheme="minorBidi" w:hAnsiTheme="minorBidi" w:cstheme="minorBidi"/>
          <w:i/>
          <w:iCs/>
          <w:szCs w:val="20"/>
        </w:rPr>
        <w:t xml:space="preserve">Culex </w:t>
      </w:r>
      <w:r w:rsidR="00BF5B37" w:rsidRPr="00760B34">
        <w:rPr>
          <w:rFonts w:asciiTheme="minorBidi" w:hAnsiTheme="minorBidi" w:cstheme="minorBidi"/>
          <w:i/>
          <w:iCs/>
          <w:szCs w:val="20"/>
        </w:rPr>
        <w:t xml:space="preserve">pipiens </w:t>
      </w:r>
      <w:r w:rsidR="00BF5B37" w:rsidRPr="00760B34">
        <w:rPr>
          <w:rFonts w:asciiTheme="minorBidi" w:hAnsiTheme="minorBidi" w:cstheme="minorBidi"/>
          <w:szCs w:val="20"/>
        </w:rPr>
        <w:t xml:space="preserve">larvae, thus it may be recommended the usage of the tested toxicants in control management strategy to enhance the activity , reduce costs and reduce the pesticide impact in the environment. </w:t>
      </w:r>
    </w:p>
    <w:p w:rsidR="00BF5B37" w:rsidRPr="00760B34" w:rsidRDefault="00BF5B37" w:rsidP="00760B34">
      <w:pPr>
        <w:pStyle w:val="Heading1"/>
        <w:jc w:val="center"/>
        <w:rPr>
          <w:rFonts w:asciiTheme="minorBidi" w:hAnsiTheme="minorBidi" w:cstheme="minorBidi"/>
          <w:sz w:val="20"/>
          <w:szCs w:val="20"/>
        </w:rPr>
      </w:pPr>
      <w:r w:rsidRPr="00760B34">
        <w:rPr>
          <w:rFonts w:asciiTheme="minorBidi" w:hAnsiTheme="minorBidi" w:cstheme="minorBidi"/>
          <w:b/>
          <w:bCs/>
          <w:sz w:val="20"/>
          <w:szCs w:val="20"/>
        </w:rPr>
        <w:t>ACKNOWLEDGEMENTS</w:t>
      </w:r>
    </w:p>
    <w:p w:rsidR="00BF5B37" w:rsidRPr="00760B34" w:rsidRDefault="00BF5B37" w:rsidP="00760B34">
      <w:pPr>
        <w:ind w:firstLine="720"/>
        <w:jc w:val="both"/>
        <w:rPr>
          <w:rFonts w:asciiTheme="minorBidi" w:hAnsiTheme="minorBidi" w:cstheme="minorBidi"/>
          <w:szCs w:val="20"/>
        </w:rPr>
      </w:pPr>
      <w:r w:rsidRPr="00760B34">
        <w:rPr>
          <w:rFonts w:asciiTheme="minorBidi" w:hAnsiTheme="minorBidi" w:cstheme="minorBidi"/>
          <w:szCs w:val="20"/>
        </w:rPr>
        <w:t>The authoress wishes to thank Drs S. Ahmad, S. Kirk and C. Terrellnield  at Nottingham Trent University, Faculty of Science &amp; Mathematics for the facilities they offered during my fellowship time. The Ministry of Higher Education in Egypt financially supported this work.</w:t>
      </w:r>
    </w:p>
    <w:p w:rsidR="00BF5B37" w:rsidRPr="00760B34" w:rsidRDefault="00BF5B37" w:rsidP="00760B34">
      <w:pPr>
        <w:jc w:val="both"/>
        <w:rPr>
          <w:rFonts w:asciiTheme="minorBidi" w:hAnsiTheme="minorBidi" w:cstheme="minorBidi"/>
          <w:szCs w:val="20"/>
        </w:rPr>
      </w:pPr>
    </w:p>
    <w:p w:rsidR="00BF5B37" w:rsidRDefault="00BF5B37" w:rsidP="00BF5B37">
      <w:pPr>
        <w:pStyle w:val="Heading1"/>
        <w:jc w:val="center"/>
        <w:rPr>
          <w:rFonts w:ascii="Arial" w:hAnsi="Arial" w:cs="Arial"/>
          <w:b/>
          <w:bCs/>
          <w:sz w:val="20"/>
          <w:szCs w:val="20"/>
        </w:rPr>
      </w:pPr>
      <w:r>
        <w:rPr>
          <w:rFonts w:ascii="Arial" w:hAnsi="Arial" w:cs="Arial"/>
          <w:b/>
          <w:bCs/>
          <w:sz w:val="20"/>
          <w:szCs w:val="20"/>
        </w:rPr>
        <w:t>REFERENCES</w:t>
      </w:r>
    </w:p>
    <w:p w:rsidR="00BF5B37" w:rsidRPr="00760B34" w:rsidRDefault="00BF5B37" w:rsidP="00760B34">
      <w:pPr>
        <w:pStyle w:val="BodyText"/>
        <w:jc w:val="left"/>
        <w:rPr>
          <w:rFonts w:asciiTheme="minorBidi" w:hAnsiTheme="minorBidi" w:cstheme="minorBidi"/>
          <w:sz w:val="20"/>
          <w:szCs w:val="20"/>
        </w:rPr>
      </w:pPr>
      <w:r w:rsidRPr="00760B34">
        <w:rPr>
          <w:rFonts w:asciiTheme="minorBidi" w:hAnsiTheme="minorBidi" w:cstheme="minorBidi"/>
          <w:sz w:val="20"/>
          <w:szCs w:val="20"/>
        </w:rPr>
        <w:t xml:space="preserve"> Abbott, S.W.S (1925): A method of computing the effectiveness of insecticides.  J. Econ.     Entomol., 18:265-277.</w:t>
      </w:r>
    </w:p>
    <w:p w:rsidR="00BF5B37" w:rsidRPr="00760B34" w:rsidRDefault="00BF5B37" w:rsidP="00760B34">
      <w:pPr>
        <w:pStyle w:val="BodyText"/>
        <w:jc w:val="both"/>
        <w:rPr>
          <w:rFonts w:asciiTheme="minorBidi" w:hAnsiTheme="minorBidi" w:cstheme="minorBidi"/>
          <w:sz w:val="20"/>
          <w:szCs w:val="20"/>
        </w:rPr>
      </w:pPr>
      <w:r w:rsidRPr="00760B34">
        <w:rPr>
          <w:rFonts w:asciiTheme="minorBidi" w:hAnsiTheme="minorBidi" w:cstheme="minorBidi"/>
          <w:sz w:val="20"/>
          <w:szCs w:val="20"/>
        </w:rPr>
        <w:t xml:space="preserve">Ben Amor, T.; M. Tronchin; L.Bortolotto; R. Verdiglione and G. Jori (1998): Porphyrins and Related Compounds as Photoactivatable Insecticides 1. Phototoxic Activity of Hematoporphyrin </w:t>
      </w:r>
      <w:r w:rsidRPr="00760B34">
        <w:rPr>
          <w:rFonts w:asciiTheme="minorBidi" w:hAnsiTheme="minorBidi" w:cstheme="minorBidi"/>
          <w:sz w:val="20"/>
          <w:szCs w:val="20"/>
        </w:rPr>
        <w:lastRenderedPageBreak/>
        <w:t>toward Ceratitis capitata and Bactrocera oleae. Photochemistry and Photobiology, 67(2): 144-152.</w:t>
      </w:r>
    </w:p>
    <w:p w:rsidR="00BF5B37" w:rsidRPr="00760B34" w:rsidRDefault="00BF5B37" w:rsidP="00760B34">
      <w:pPr>
        <w:ind w:left="567" w:hanging="567"/>
        <w:jc w:val="right"/>
        <w:rPr>
          <w:rFonts w:asciiTheme="minorBidi" w:hAnsiTheme="minorBidi" w:cstheme="minorBidi"/>
          <w:szCs w:val="20"/>
        </w:rPr>
      </w:pPr>
      <w:r w:rsidRPr="00760B34">
        <w:rPr>
          <w:rFonts w:asciiTheme="minorBidi" w:hAnsiTheme="minorBidi" w:cstheme="minorBidi"/>
          <w:szCs w:val="20"/>
        </w:rPr>
        <w:t>Brown, S. (1997): PDT. : The international scene. Int. Photodyn. 1, 1-2.</w:t>
      </w:r>
    </w:p>
    <w:p w:rsidR="00BF5B37" w:rsidRPr="00760B34" w:rsidRDefault="00BF5B37" w:rsidP="00760B34">
      <w:pPr>
        <w:ind w:left="567" w:hanging="567"/>
        <w:jc w:val="right"/>
        <w:rPr>
          <w:rFonts w:asciiTheme="minorBidi" w:hAnsiTheme="minorBidi" w:cstheme="minorBidi"/>
          <w:szCs w:val="20"/>
        </w:rPr>
      </w:pPr>
      <w:r w:rsidRPr="00760B34">
        <w:rPr>
          <w:rFonts w:asciiTheme="minorBidi" w:hAnsiTheme="minorBidi" w:cstheme="minorBidi"/>
          <w:szCs w:val="20"/>
        </w:rPr>
        <w:t>Baker, R. F. A; Isa, A. M.; Gabry, M. S. and Guneidy, A. M. (1997): Histopathological changes in Culex pipiens ( Diptera, Culicidae) induced by juvenile hormone mimics.J. Egypt. Ger. Soc. Zool., Vol. 22( E), Entomology , 27-45.</w:t>
      </w:r>
    </w:p>
    <w:p w:rsidR="00BF5B37" w:rsidRPr="00760B34" w:rsidRDefault="00BF5B37" w:rsidP="00760B34">
      <w:pPr>
        <w:pStyle w:val="BodyTextIndent3"/>
        <w:widowControl/>
        <w:ind w:left="0" w:firstLine="0"/>
        <w:jc w:val="left"/>
        <w:rPr>
          <w:rFonts w:asciiTheme="minorBidi" w:hAnsiTheme="minorBidi" w:cstheme="minorBidi"/>
          <w:sz w:val="20"/>
          <w:szCs w:val="20"/>
          <w:lang w:val="en-GB"/>
        </w:rPr>
      </w:pPr>
      <w:r w:rsidRPr="00760B34">
        <w:rPr>
          <w:rFonts w:asciiTheme="minorBidi" w:hAnsiTheme="minorBidi" w:cstheme="minorBidi"/>
          <w:sz w:val="20"/>
          <w:szCs w:val="20"/>
          <w:lang w:val="en-GB"/>
        </w:rPr>
        <w:t>Heitz, J.R. (1987): Development of photoactivated compounds as pesticides. In Light Activated Pesticides (Edited by J.R. Heitz and K.R.Dowrum), pp. 1-12. American Chemical Society Symposium Series, Washington, DC.</w:t>
      </w:r>
    </w:p>
    <w:p w:rsidR="00BF5B37" w:rsidRPr="00760B34" w:rsidRDefault="00BF5B37" w:rsidP="00760B34">
      <w:pPr>
        <w:pStyle w:val="BodyTextIndent3"/>
        <w:widowControl/>
        <w:ind w:left="0" w:firstLine="0"/>
        <w:jc w:val="left"/>
        <w:rPr>
          <w:rFonts w:asciiTheme="minorBidi" w:hAnsiTheme="minorBidi" w:cstheme="minorBidi"/>
          <w:sz w:val="20"/>
          <w:szCs w:val="20"/>
          <w:lang w:val="en-GB"/>
        </w:rPr>
      </w:pPr>
      <w:r w:rsidRPr="00760B34">
        <w:rPr>
          <w:rFonts w:asciiTheme="minorBidi" w:hAnsiTheme="minorBidi" w:cstheme="minorBidi"/>
          <w:sz w:val="20"/>
          <w:szCs w:val="20"/>
          <w:lang w:val="en-GB"/>
        </w:rPr>
        <w:t xml:space="preserve">Jakob , W. L. ( 1972) : Additional studies with </w:t>
      </w:r>
      <w:r w:rsidRPr="00760B34">
        <w:rPr>
          <w:rFonts w:asciiTheme="minorBidi" w:hAnsiTheme="minorBidi" w:cstheme="minorBidi"/>
          <w:sz w:val="20"/>
          <w:szCs w:val="20"/>
        </w:rPr>
        <w:t>juvenile hormone- type compounds against mosquitoes larvae. Mosq. News, 32 (4): 592- 595</w:t>
      </w:r>
    </w:p>
    <w:p w:rsidR="00BF5B37" w:rsidRPr="00760B34" w:rsidRDefault="00BF5B37" w:rsidP="00760B34">
      <w:pPr>
        <w:pStyle w:val="BodyTextIndent3"/>
        <w:widowControl/>
        <w:ind w:left="0" w:firstLine="0"/>
        <w:jc w:val="left"/>
        <w:rPr>
          <w:rFonts w:asciiTheme="minorBidi" w:hAnsiTheme="minorBidi" w:cstheme="minorBidi"/>
          <w:sz w:val="20"/>
          <w:szCs w:val="20"/>
          <w:lang w:val="en-GB"/>
        </w:rPr>
      </w:pPr>
      <w:r w:rsidRPr="00760B34">
        <w:rPr>
          <w:rFonts w:asciiTheme="minorBidi" w:hAnsiTheme="minorBidi" w:cstheme="minorBidi"/>
          <w:sz w:val="20"/>
          <w:szCs w:val="20"/>
          <w:lang w:val="en-GB"/>
        </w:rPr>
        <w:t xml:space="preserve"> </w:t>
      </w:r>
    </w:p>
    <w:p w:rsidR="00BF5B37" w:rsidRPr="00760B34" w:rsidRDefault="00BF5B37" w:rsidP="00760B34">
      <w:pPr>
        <w:pStyle w:val="BodyText3"/>
        <w:jc w:val="left"/>
        <w:rPr>
          <w:rFonts w:asciiTheme="minorBidi" w:hAnsiTheme="minorBidi" w:cstheme="minorBidi"/>
        </w:rPr>
      </w:pPr>
      <w:r w:rsidRPr="00760B34">
        <w:rPr>
          <w:rFonts w:asciiTheme="minorBidi" w:hAnsiTheme="minorBidi" w:cstheme="minorBidi"/>
        </w:rPr>
        <w:t xml:space="preserve"> Jori, G. (1985): Molecular and cellular mechanisms in photomedicine: Porphyrins in microheterogeneous environments. In Primary Photoprocesses in Biology and Medicine (Edited by R. V. Bensasson,  G. Jori, E. Land and T.G. Truscott), PP. 349-355. Plenum press, New York. </w:t>
      </w:r>
    </w:p>
    <w:p w:rsidR="00BF5B37" w:rsidRPr="00760B34" w:rsidRDefault="00BF5B37" w:rsidP="00760B34">
      <w:pPr>
        <w:pStyle w:val="BodyText3"/>
        <w:jc w:val="left"/>
        <w:rPr>
          <w:rFonts w:asciiTheme="minorBidi" w:hAnsiTheme="minorBidi" w:cstheme="minorBidi"/>
        </w:rPr>
      </w:pPr>
      <w:r w:rsidRPr="00760B34">
        <w:rPr>
          <w:rFonts w:asciiTheme="minorBidi" w:hAnsiTheme="minorBidi" w:cstheme="minorBidi"/>
        </w:rPr>
        <w:t xml:space="preserve">Jori, G. and J. D. Spikes (1983): Photobiochemistry of porphyrins. In Topics in photomedicine (Edited by K.C. Smith), pp. 183-319. Plenum press, New York. </w:t>
      </w:r>
    </w:p>
    <w:p w:rsidR="00BF5B37" w:rsidRPr="00760B34" w:rsidRDefault="00BF5B37" w:rsidP="00760B34">
      <w:pPr>
        <w:ind w:hanging="567"/>
        <w:jc w:val="right"/>
        <w:rPr>
          <w:rFonts w:asciiTheme="minorBidi" w:hAnsiTheme="minorBidi" w:cstheme="minorBidi"/>
          <w:szCs w:val="20"/>
        </w:rPr>
      </w:pPr>
      <w:r w:rsidRPr="00760B34">
        <w:rPr>
          <w:rFonts w:asciiTheme="minorBidi" w:hAnsiTheme="minorBidi" w:cstheme="minorBidi"/>
          <w:szCs w:val="20"/>
        </w:rPr>
        <w:t xml:space="preserve">   Jori, G. (1986): Tumour photosensitizers: approaches to enhance the selectivity and efficiency   of photodynamic therapy. J. photochem. photobiol., B Biol. 36,87-93. </w:t>
      </w:r>
    </w:p>
    <w:p w:rsidR="00BF5B37" w:rsidRPr="00760B34" w:rsidRDefault="00BF5B37" w:rsidP="00760B34">
      <w:pPr>
        <w:jc w:val="right"/>
        <w:rPr>
          <w:rFonts w:asciiTheme="minorBidi" w:hAnsiTheme="minorBidi" w:cstheme="minorBidi"/>
          <w:szCs w:val="20"/>
        </w:rPr>
      </w:pPr>
      <w:r w:rsidRPr="00760B34">
        <w:rPr>
          <w:rFonts w:asciiTheme="minorBidi" w:hAnsiTheme="minorBidi" w:cstheme="minorBidi"/>
          <w:szCs w:val="20"/>
        </w:rPr>
        <w:t xml:space="preserve">Kessel, D. and T.H.Chou (1983): Porphyrin –localizing phenomena. In Porphyrin photosensitization (Edited by D.Kessel and T.J. Dougherty), pp. 115-127. Plenum Press, New York. </w:t>
      </w:r>
    </w:p>
    <w:p w:rsidR="00BF5B37" w:rsidRPr="00760B34" w:rsidRDefault="00BF5B37" w:rsidP="00760B34">
      <w:pPr>
        <w:pStyle w:val="BodyText2"/>
        <w:widowControl w:val="0"/>
        <w:tabs>
          <w:tab w:val="left" w:pos="0"/>
        </w:tabs>
        <w:rPr>
          <w:rFonts w:asciiTheme="minorBidi" w:hAnsiTheme="minorBidi" w:cstheme="minorBidi"/>
          <w:lang w:val="en-US"/>
        </w:rPr>
      </w:pPr>
      <w:r w:rsidRPr="00760B34">
        <w:rPr>
          <w:rFonts w:asciiTheme="minorBidi" w:hAnsiTheme="minorBidi" w:cstheme="minorBidi"/>
          <w:lang w:val="en-US"/>
        </w:rPr>
        <w:t>Lenke, L. A.; P.G. Koehler; R.S. patterson; M.B. Feger and T. Eickhoff (1987): Field development of photooxidative dyes as insecticides. In Light Activated Pesticides (Edited by J.R. Heitz and K.R. Dowrum), pp.156-167.American Chemical Society Symposium Series, Washington, DC.</w:t>
      </w:r>
    </w:p>
    <w:p w:rsidR="00BF5B37" w:rsidRPr="00760B34" w:rsidRDefault="00BF5B37" w:rsidP="00760B34">
      <w:pPr>
        <w:jc w:val="right"/>
        <w:rPr>
          <w:rFonts w:asciiTheme="minorBidi" w:hAnsiTheme="minorBidi" w:cstheme="minorBidi"/>
          <w:szCs w:val="20"/>
        </w:rPr>
      </w:pPr>
      <w:r w:rsidRPr="00760B34">
        <w:rPr>
          <w:rFonts w:asciiTheme="minorBidi" w:hAnsiTheme="minorBidi" w:cstheme="minorBidi"/>
          <w:szCs w:val="20"/>
        </w:rPr>
        <w:t xml:space="preserve">McKague ,A. B. and R.B. Pridmore (1978): Toxicity of Altosid and Dimilin to juvenile hormone rain bow trot and coho salmon . Bull. Environm. Contam. Toxicol. 20 : 167- 169. </w:t>
      </w:r>
    </w:p>
    <w:p w:rsidR="00BF5B37" w:rsidRPr="00760B34" w:rsidRDefault="00BF5B37" w:rsidP="00760B34">
      <w:pPr>
        <w:jc w:val="right"/>
        <w:rPr>
          <w:rFonts w:asciiTheme="minorBidi" w:hAnsiTheme="minorBidi" w:cstheme="minorBidi"/>
          <w:szCs w:val="20"/>
        </w:rPr>
      </w:pPr>
      <w:r w:rsidRPr="00760B34">
        <w:rPr>
          <w:rFonts w:asciiTheme="minorBidi" w:hAnsiTheme="minorBidi" w:cstheme="minorBidi"/>
          <w:szCs w:val="20"/>
        </w:rPr>
        <w:t xml:space="preserve">Mulla, M. S. ; H. A. Darwazeh and R. L. Norland  (1975): Activity and longevity of insect groth regulator against mosquitoes. J. Econ. Entomol., 68 ( 6): 791-794 </w:t>
      </w:r>
    </w:p>
    <w:p w:rsidR="00BF5B37" w:rsidRPr="00760B34" w:rsidRDefault="00BF5B37" w:rsidP="00760B34">
      <w:pPr>
        <w:ind w:hanging="142"/>
        <w:jc w:val="right"/>
        <w:rPr>
          <w:rFonts w:asciiTheme="minorBidi" w:hAnsiTheme="minorBidi" w:cstheme="minorBidi"/>
          <w:szCs w:val="20"/>
        </w:rPr>
      </w:pPr>
      <w:r w:rsidRPr="00760B34">
        <w:rPr>
          <w:rFonts w:asciiTheme="minorBidi" w:hAnsiTheme="minorBidi" w:cstheme="minorBidi"/>
          <w:szCs w:val="20"/>
        </w:rPr>
        <w:t xml:space="preserve">   Salama, E.M, S. El Sherbini, M.H. Abdel-Kader and G.Jori (1998): Ultra-structural localization of a photoinsecticide in Culex pipiens larvae. 3 rd International Conference on Lasers&amp; Applications, Advances in Science, Medicine &amp; Technology Cairo, 14-16 November 1998.</w:t>
      </w:r>
    </w:p>
    <w:p w:rsidR="00BF5B37" w:rsidRPr="00760B34" w:rsidRDefault="00BF5B37" w:rsidP="00760B34">
      <w:pPr>
        <w:ind w:hanging="142"/>
        <w:jc w:val="right"/>
        <w:rPr>
          <w:rFonts w:asciiTheme="minorBidi" w:hAnsiTheme="minorBidi" w:cstheme="minorBidi"/>
          <w:szCs w:val="20"/>
        </w:rPr>
      </w:pPr>
      <w:r w:rsidRPr="00760B34">
        <w:rPr>
          <w:rFonts w:asciiTheme="minorBidi" w:hAnsiTheme="minorBidi" w:cstheme="minorBidi"/>
          <w:szCs w:val="20"/>
        </w:rPr>
        <w:t>Sokolova, E.I. and Ganushkina, L.A. (1982): The combined effect of bacterial preparations and insect development regulators on larvae  of blood -sucking mosquitoes.</w:t>
      </w:r>
    </w:p>
    <w:p w:rsidR="00BF5B37" w:rsidRPr="00760B34" w:rsidRDefault="00BF5B37" w:rsidP="00760B34">
      <w:pPr>
        <w:ind w:hanging="142"/>
        <w:jc w:val="right"/>
        <w:rPr>
          <w:rFonts w:asciiTheme="minorBidi" w:hAnsiTheme="minorBidi" w:cstheme="minorBidi"/>
          <w:szCs w:val="20"/>
        </w:rPr>
      </w:pPr>
      <w:r w:rsidRPr="00760B34">
        <w:rPr>
          <w:rFonts w:asciiTheme="minorBidi" w:hAnsiTheme="minorBidi" w:cstheme="minorBidi"/>
          <w:szCs w:val="20"/>
        </w:rPr>
        <w:t>Meditsinskaya, Parazitologiya, Parazitarnye Bolezni. 51 (4) pp.42-45.</w:t>
      </w:r>
    </w:p>
    <w:p w:rsidR="00BF5B37" w:rsidRPr="00760B34" w:rsidRDefault="00BF5B37" w:rsidP="00760B34">
      <w:pPr>
        <w:ind w:hanging="142"/>
        <w:jc w:val="right"/>
        <w:rPr>
          <w:rFonts w:asciiTheme="minorBidi" w:hAnsiTheme="minorBidi" w:cstheme="minorBidi"/>
          <w:szCs w:val="20"/>
        </w:rPr>
      </w:pPr>
      <w:r w:rsidRPr="00760B34">
        <w:rPr>
          <w:rFonts w:asciiTheme="minorBidi" w:hAnsiTheme="minorBidi" w:cstheme="minorBidi"/>
          <w:szCs w:val="20"/>
        </w:rPr>
        <w:t xml:space="preserve">Sun, Y.P . and Johnson, E.R. (1960): Synergistic and antagonistic action of insecticide synergist combinations , and their mode of action.  J. AGR. Food. Chem., 8: 261-266  </w:t>
      </w:r>
    </w:p>
    <w:p w:rsidR="00BF5B37" w:rsidRPr="00760B34" w:rsidRDefault="00BF5B37" w:rsidP="00760B34">
      <w:pPr>
        <w:ind w:hanging="142"/>
        <w:jc w:val="right"/>
        <w:rPr>
          <w:rFonts w:asciiTheme="minorBidi" w:hAnsiTheme="minorBidi" w:cstheme="minorBidi"/>
          <w:szCs w:val="20"/>
        </w:rPr>
      </w:pPr>
      <w:r w:rsidRPr="00760B34">
        <w:rPr>
          <w:rFonts w:asciiTheme="minorBidi" w:hAnsiTheme="minorBidi" w:cstheme="minorBidi"/>
          <w:szCs w:val="20"/>
        </w:rPr>
        <w:t xml:space="preserve">Yoho , T.P., L. Butler and J.E. Weaver (1976): Photodynamic killing of house flies fed food, drug and cosmetic dye additives. Environ. Entomol. 5, 203-207. </w:t>
      </w:r>
    </w:p>
    <w:p w:rsidR="00915397" w:rsidRDefault="00915397" w:rsidP="00760B34">
      <w:pPr>
        <w:ind w:firstLine="567"/>
        <w:jc w:val="right"/>
        <w:rPr>
          <w:rFonts w:asciiTheme="minorBidi" w:hAnsiTheme="minorBidi" w:cstheme="minorBidi"/>
          <w:szCs w:val="20"/>
        </w:rPr>
      </w:pPr>
    </w:p>
    <w:p w:rsidR="00760B34" w:rsidRDefault="00760B34" w:rsidP="00760B34">
      <w:pPr>
        <w:ind w:firstLine="567"/>
        <w:jc w:val="right"/>
        <w:rPr>
          <w:rFonts w:asciiTheme="minorBidi" w:hAnsiTheme="minorBidi" w:cstheme="minorBidi"/>
          <w:szCs w:val="20"/>
        </w:rPr>
      </w:pPr>
    </w:p>
    <w:p w:rsidR="00760B34" w:rsidRDefault="00760B34" w:rsidP="00760B34">
      <w:pPr>
        <w:ind w:firstLine="567"/>
        <w:jc w:val="right"/>
        <w:rPr>
          <w:rFonts w:asciiTheme="minorBidi" w:hAnsiTheme="minorBidi" w:cstheme="minorBidi"/>
          <w:szCs w:val="20"/>
        </w:rPr>
      </w:pPr>
    </w:p>
    <w:p w:rsidR="00760B34" w:rsidRDefault="00760B34" w:rsidP="00760B34">
      <w:pPr>
        <w:ind w:firstLine="567"/>
        <w:jc w:val="right"/>
        <w:rPr>
          <w:rFonts w:asciiTheme="minorBidi" w:hAnsiTheme="minorBidi" w:cstheme="minorBidi"/>
          <w:szCs w:val="20"/>
        </w:rPr>
      </w:pPr>
    </w:p>
    <w:p w:rsidR="00760B34" w:rsidRDefault="00760B34" w:rsidP="00760B34">
      <w:pPr>
        <w:ind w:firstLine="567"/>
        <w:jc w:val="right"/>
        <w:rPr>
          <w:rFonts w:asciiTheme="minorBidi" w:hAnsiTheme="minorBidi" w:cstheme="minorBidi"/>
          <w:szCs w:val="20"/>
        </w:rPr>
      </w:pPr>
    </w:p>
    <w:p w:rsidR="00760B34" w:rsidRDefault="00760B34" w:rsidP="00760B34">
      <w:pPr>
        <w:ind w:firstLine="567"/>
        <w:jc w:val="right"/>
        <w:rPr>
          <w:rFonts w:asciiTheme="minorBidi" w:hAnsiTheme="minorBidi" w:cstheme="minorBidi"/>
          <w:szCs w:val="20"/>
        </w:rPr>
      </w:pPr>
    </w:p>
    <w:p w:rsidR="00760B34" w:rsidRDefault="00760B34" w:rsidP="00760B34">
      <w:pPr>
        <w:ind w:firstLine="567"/>
        <w:jc w:val="right"/>
        <w:rPr>
          <w:rFonts w:asciiTheme="minorBidi" w:hAnsiTheme="minorBidi" w:cstheme="minorBidi"/>
          <w:szCs w:val="20"/>
        </w:rPr>
      </w:pPr>
    </w:p>
    <w:p w:rsidR="00760B34" w:rsidRDefault="00760B34" w:rsidP="00760B34">
      <w:pPr>
        <w:ind w:firstLine="567"/>
        <w:jc w:val="right"/>
        <w:rPr>
          <w:rFonts w:asciiTheme="minorBidi" w:hAnsiTheme="minorBidi" w:cstheme="minorBidi"/>
          <w:szCs w:val="20"/>
        </w:rPr>
      </w:pPr>
    </w:p>
    <w:p w:rsidR="00760B34" w:rsidRDefault="00760B34" w:rsidP="00760B34">
      <w:pPr>
        <w:ind w:firstLine="567"/>
        <w:jc w:val="right"/>
        <w:rPr>
          <w:rFonts w:asciiTheme="minorBidi" w:hAnsiTheme="minorBidi" w:cstheme="minorBidi"/>
          <w:szCs w:val="20"/>
        </w:rPr>
      </w:pPr>
    </w:p>
    <w:p w:rsidR="00760B34" w:rsidRDefault="00760B34" w:rsidP="00760B34">
      <w:pPr>
        <w:ind w:firstLine="567"/>
        <w:jc w:val="right"/>
        <w:rPr>
          <w:rFonts w:asciiTheme="minorBidi" w:hAnsiTheme="minorBidi" w:cstheme="minorBidi"/>
          <w:szCs w:val="20"/>
        </w:rPr>
      </w:pPr>
    </w:p>
    <w:p w:rsidR="00760B34" w:rsidRDefault="00760B34" w:rsidP="00760B34">
      <w:pPr>
        <w:ind w:firstLine="567"/>
        <w:jc w:val="right"/>
        <w:rPr>
          <w:rFonts w:asciiTheme="minorBidi" w:hAnsiTheme="minorBidi" w:cstheme="minorBidi"/>
          <w:szCs w:val="20"/>
        </w:rPr>
      </w:pPr>
    </w:p>
    <w:p w:rsidR="00760B34" w:rsidRDefault="00760B34" w:rsidP="00760B34">
      <w:pPr>
        <w:ind w:firstLine="567"/>
        <w:jc w:val="right"/>
        <w:rPr>
          <w:rFonts w:asciiTheme="minorBidi" w:hAnsiTheme="minorBidi" w:cstheme="minorBidi"/>
          <w:szCs w:val="20"/>
        </w:rPr>
      </w:pPr>
    </w:p>
    <w:p w:rsidR="00760B34" w:rsidRDefault="00760B34" w:rsidP="00760B34">
      <w:pPr>
        <w:ind w:firstLine="567"/>
        <w:jc w:val="right"/>
        <w:rPr>
          <w:rFonts w:asciiTheme="minorBidi" w:hAnsiTheme="minorBidi" w:cstheme="minorBidi"/>
          <w:szCs w:val="20"/>
        </w:rPr>
      </w:pPr>
    </w:p>
    <w:p w:rsidR="00760B34" w:rsidRDefault="00760B34" w:rsidP="00760B34">
      <w:pPr>
        <w:ind w:firstLine="567"/>
        <w:jc w:val="right"/>
        <w:rPr>
          <w:rFonts w:asciiTheme="minorBidi" w:hAnsiTheme="minorBidi" w:cstheme="minorBidi"/>
          <w:szCs w:val="20"/>
        </w:rPr>
      </w:pPr>
    </w:p>
    <w:p w:rsidR="00760B34" w:rsidRPr="00760B34" w:rsidRDefault="00760B34" w:rsidP="00760B34">
      <w:pPr>
        <w:ind w:firstLine="567"/>
        <w:jc w:val="right"/>
        <w:rPr>
          <w:rFonts w:asciiTheme="minorBidi" w:hAnsiTheme="minorBidi" w:cstheme="minorBidi"/>
          <w:szCs w:val="20"/>
        </w:rPr>
      </w:pPr>
    </w:p>
    <w:p w:rsidR="00915397" w:rsidRPr="00760B34" w:rsidRDefault="00915397" w:rsidP="00760B34">
      <w:pPr>
        <w:jc w:val="right"/>
        <w:rPr>
          <w:rFonts w:asciiTheme="minorBidi" w:hAnsiTheme="minorBidi" w:cstheme="minorBidi"/>
          <w:szCs w:val="20"/>
        </w:rPr>
      </w:pPr>
      <w:r w:rsidRPr="00760B34">
        <w:rPr>
          <w:rFonts w:asciiTheme="minorBidi" w:hAnsiTheme="minorBidi" w:cstheme="minorBidi"/>
          <w:szCs w:val="20"/>
        </w:rPr>
        <w:lastRenderedPageBreak/>
        <w:t xml:space="preserve">Table (1): Susceptibility of the early </w:t>
      </w:r>
      <w:r w:rsidR="002D2E90" w:rsidRPr="00760B34">
        <w:rPr>
          <w:rFonts w:asciiTheme="minorBidi" w:hAnsiTheme="minorBidi" w:cstheme="minorBidi"/>
          <w:szCs w:val="20"/>
        </w:rPr>
        <w:t>4</w:t>
      </w:r>
      <w:r w:rsidR="002D2E90" w:rsidRPr="00760B34">
        <w:rPr>
          <w:rFonts w:asciiTheme="minorBidi" w:hAnsiTheme="minorBidi" w:cstheme="minorBidi"/>
          <w:szCs w:val="20"/>
          <w:vertAlign w:val="superscript"/>
        </w:rPr>
        <w:t>th</w:t>
      </w:r>
      <w:r w:rsidRPr="00760B34">
        <w:rPr>
          <w:rFonts w:asciiTheme="minorBidi" w:hAnsiTheme="minorBidi" w:cstheme="minorBidi"/>
          <w:szCs w:val="20"/>
        </w:rPr>
        <w:t xml:space="preserve"> instar of</w:t>
      </w:r>
      <w:r w:rsidR="00E81618" w:rsidRPr="00760B34">
        <w:rPr>
          <w:rFonts w:asciiTheme="minorBidi" w:hAnsiTheme="minorBidi" w:cstheme="minorBidi"/>
          <w:szCs w:val="20"/>
        </w:rPr>
        <w:t xml:space="preserve"> </w:t>
      </w:r>
      <w:r w:rsidRPr="00760B34">
        <w:rPr>
          <w:rFonts w:asciiTheme="minorBidi" w:hAnsiTheme="minorBidi" w:cstheme="minorBidi"/>
          <w:szCs w:val="20"/>
        </w:rPr>
        <w:t xml:space="preserve"> </w:t>
      </w:r>
      <w:r w:rsidRPr="00760B34">
        <w:rPr>
          <w:rFonts w:asciiTheme="minorBidi" w:hAnsiTheme="minorBidi" w:cstheme="minorBidi"/>
          <w:i/>
          <w:iCs/>
          <w:szCs w:val="20"/>
        </w:rPr>
        <w:t>C. pipiens</w:t>
      </w:r>
      <w:r w:rsidRPr="00760B34">
        <w:rPr>
          <w:rFonts w:asciiTheme="minorBidi" w:hAnsiTheme="minorBidi" w:cstheme="minorBidi"/>
          <w:szCs w:val="20"/>
        </w:rPr>
        <w:t xml:space="preserve"> larvae  to </w:t>
      </w:r>
      <w:r w:rsidR="002D2E90" w:rsidRPr="00760B34">
        <w:rPr>
          <w:rFonts w:asciiTheme="minorBidi" w:hAnsiTheme="minorBidi" w:cstheme="minorBidi"/>
          <w:szCs w:val="20"/>
        </w:rPr>
        <w:t>photoinsecticide hematoporphyrin at different time of exposure ( 24,48 &amp; 72 hours) &amp; after irradiation with 380-400 W/M</w:t>
      </w:r>
      <w:r w:rsidR="002D2E90" w:rsidRPr="00760B34">
        <w:rPr>
          <w:rFonts w:asciiTheme="minorBidi" w:hAnsiTheme="minorBidi" w:cstheme="minorBidi"/>
          <w:szCs w:val="20"/>
          <w:vertAlign w:val="superscript"/>
        </w:rPr>
        <w:t xml:space="preserve">2 </w:t>
      </w:r>
      <w:r w:rsidRPr="00760B34">
        <w:rPr>
          <w:rFonts w:asciiTheme="minorBidi" w:hAnsiTheme="minorBidi" w:cstheme="minorBidi"/>
          <w:szCs w:val="20"/>
        </w:rPr>
        <w:t>e</w:t>
      </w:r>
      <w:r w:rsidR="002D2E90" w:rsidRPr="00760B34">
        <w:rPr>
          <w:rFonts w:asciiTheme="minorBidi" w:hAnsiTheme="minorBidi" w:cstheme="minorBidi"/>
          <w:szCs w:val="20"/>
        </w:rPr>
        <w:t xml:space="preserve">artificial lights. </w:t>
      </w:r>
    </w:p>
    <w:p w:rsidR="00915397" w:rsidRDefault="00915397" w:rsidP="00760B34">
      <w:pPr>
        <w:jc w:val="right"/>
        <w:rPr>
          <w:szCs w:val="20"/>
        </w:rPr>
      </w:pPr>
      <w:r w:rsidRPr="00760B34">
        <w:rPr>
          <w:rFonts w:asciiTheme="minorBidi" w:hAnsiTheme="minorBidi" w:cstheme="minorBidi"/>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1440"/>
        <w:gridCol w:w="1440"/>
        <w:gridCol w:w="1800"/>
      </w:tblGrid>
      <w:tr w:rsidR="00E81618" w:rsidTr="00C90D7C">
        <w:tc>
          <w:tcPr>
            <w:tcW w:w="1728" w:type="dxa"/>
            <w:vMerge w:val="restart"/>
          </w:tcPr>
          <w:p w:rsidR="00E81618" w:rsidRDefault="00E81618" w:rsidP="00915397">
            <w:pPr>
              <w:spacing w:line="480" w:lineRule="auto"/>
              <w:jc w:val="right"/>
              <w:rPr>
                <w:szCs w:val="20"/>
              </w:rPr>
            </w:pPr>
            <w:r>
              <w:rPr>
                <w:szCs w:val="20"/>
              </w:rPr>
              <w:t>Concentration</w:t>
            </w:r>
          </w:p>
          <w:p w:rsidR="00E81618" w:rsidRDefault="00E81618" w:rsidP="00915397">
            <w:pPr>
              <w:spacing w:line="480" w:lineRule="auto"/>
              <w:jc w:val="right"/>
              <w:rPr>
                <w:szCs w:val="20"/>
              </w:rPr>
            </w:pPr>
            <w:r>
              <w:rPr>
                <w:szCs w:val="20"/>
              </w:rPr>
              <w:t>( mM / ml )</w:t>
            </w:r>
          </w:p>
        </w:tc>
        <w:tc>
          <w:tcPr>
            <w:tcW w:w="4680" w:type="dxa"/>
            <w:gridSpan w:val="3"/>
          </w:tcPr>
          <w:p w:rsidR="00E81618" w:rsidRDefault="00E81618" w:rsidP="003F1634">
            <w:pPr>
              <w:spacing w:line="480" w:lineRule="auto"/>
              <w:jc w:val="center"/>
              <w:rPr>
                <w:szCs w:val="20"/>
              </w:rPr>
            </w:pPr>
            <w:r>
              <w:rPr>
                <w:szCs w:val="20"/>
              </w:rPr>
              <w:t>Averages of corrected mortality percent</w:t>
            </w:r>
          </w:p>
        </w:tc>
      </w:tr>
      <w:tr w:rsidR="00E81618" w:rsidTr="00C90D7C">
        <w:tc>
          <w:tcPr>
            <w:tcW w:w="1728" w:type="dxa"/>
            <w:vMerge/>
          </w:tcPr>
          <w:p w:rsidR="00E81618" w:rsidRDefault="00E81618" w:rsidP="00915397">
            <w:pPr>
              <w:spacing w:line="480" w:lineRule="auto"/>
              <w:jc w:val="right"/>
              <w:rPr>
                <w:szCs w:val="20"/>
              </w:rPr>
            </w:pPr>
          </w:p>
        </w:tc>
        <w:tc>
          <w:tcPr>
            <w:tcW w:w="1440" w:type="dxa"/>
          </w:tcPr>
          <w:p w:rsidR="00E81618" w:rsidRPr="00E81618" w:rsidRDefault="00E81618" w:rsidP="003F1634">
            <w:pPr>
              <w:spacing w:line="480" w:lineRule="auto"/>
              <w:jc w:val="center"/>
              <w:rPr>
                <w:szCs w:val="20"/>
              </w:rPr>
            </w:pPr>
            <w:r>
              <w:rPr>
                <w:szCs w:val="20"/>
              </w:rPr>
              <w:t>24h</w:t>
            </w:r>
          </w:p>
        </w:tc>
        <w:tc>
          <w:tcPr>
            <w:tcW w:w="1440" w:type="dxa"/>
          </w:tcPr>
          <w:p w:rsidR="00E81618" w:rsidRDefault="00E81618" w:rsidP="003F1634">
            <w:pPr>
              <w:spacing w:line="480" w:lineRule="auto"/>
              <w:jc w:val="center"/>
              <w:rPr>
                <w:szCs w:val="20"/>
              </w:rPr>
            </w:pPr>
            <w:r>
              <w:rPr>
                <w:szCs w:val="20"/>
              </w:rPr>
              <w:t>48h</w:t>
            </w:r>
          </w:p>
        </w:tc>
        <w:tc>
          <w:tcPr>
            <w:tcW w:w="1800" w:type="dxa"/>
          </w:tcPr>
          <w:p w:rsidR="00E81618" w:rsidRDefault="00E81618" w:rsidP="003F1634">
            <w:pPr>
              <w:spacing w:line="480" w:lineRule="auto"/>
              <w:jc w:val="center"/>
              <w:rPr>
                <w:szCs w:val="20"/>
              </w:rPr>
            </w:pPr>
            <w:r>
              <w:rPr>
                <w:szCs w:val="20"/>
              </w:rPr>
              <w:t>72h</w:t>
            </w:r>
          </w:p>
        </w:tc>
      </w:tr>
      <w:tr w:rsidR="00E81618" w:rsidTr="00C90D7C">
        <w:tc>
          <w:tcPr>
            <w:tcW w:w="1728" w:type="dxa"/>
            <w:vMerge/>
          </w:tcPr>
          <w:p w:rsidR="00E81618" w:rsidRDefault="00E81618" w:rsidP="00915397">
            <w:pPr>
              <w:spacing w:line="480" w:lineRule="auto"/>
              <w:jc w:val="right"/>
              <w:rPr>
                <w:szCs w:val="20"/>
              </w:rPr>
            </w:pPr>
          </w:p>
        </w:tc>
        <w:tc>
          <w:tcPr>
            <w:tcW w:w="1440" w:type="dxa"/>
          </w:tcPr>
          <w:p w:rsidR="00E81618" w:rsidRDefault="00E81618" w:rsidP="003F1634">
            <w:pPr>
              <w:spacing w:line="480" w:lineRule="auto"/>
              <w:jc w:val="center"/>
              <w:rPr>
                <w:szCs w:val="20"/>
              </w:rPr>
            </w:pPr>
            <w:r>
              <w:rPr>
                <w:szCs w:val="20"/>
              </w:rPr>
              <w:t xml:space="preserve">X  </w:t>
            </w:r>
            <w:r>
              <w:rPr>
                <w:rFonts w:cs="Times New Roman"/>
                <w:szCs w:val="20"/>
              </w:rPr>
              <w:t>±</w:t>
            </w:r>
            <w:r>
              <w:rPr>
                <w:szCs w:val="20"/>
              </w:rPr>
              <w:t xml:space="preserve"> SE</w:t>
            </w:r>
          </w:p>
        </w:tc>
        <w:tc>
          <w:tcPr>
            <w:tcW w:w="1440" w:type="dxa"/>
          </w:tcPr>
          <w:p w:rsidR="00E81618" w:rsidRDefault="00E81618" w:rsidP="003F1634">
            <w:pPr>
              <w:spacing w:line="480" w:lineRule="auto"/>
              <w:jc w:val="center"/>
              <w:rPr>
                <w:szCs w:val="20"/>
              </w:rPr>
            </w:pPr>
            <w:r>
              <w:rPr>
                <w:szCs w:val="20"/>
              </w:rPr>
              <w:t xml:space="preserve">X  </w:t>
            </w:r>
            <w:r>
              <w:rPr>
                <w:rFonts w:cs="Times New Roman"/>
                <w:szCs w:val="20"/>
              </w:rPr>
              <w:t>±</w:t>
            </w:r>
            <w:r>
              <w:rPr>
                <w:szCs w:val="20"/>
              </w:rPr>
              <w:t xml:space="preserve"> SE</w:t>
            </w:r>
          </w:p>
        </w:tc>
        <w:tc>
          <w:tcPr>
            <w:tcW w:w="1800" w:type="dxa"/>
          </w:tcPr>
          <w:p w:rsidR="00E81618" w:rsidRDefault="00E81618" w:rsidP="003F1634">
            <w:pPr>
              <w:spacing w:line="480" w:lineRule="auto"/>
              <w:jc w:val="center"/>
              <w:rPr>
                <w:szCs w:val="20"/>
              </w:rPr>
            </w:pPr>
            <w:r>
              <w:rPr>
                <w:szCs w:val="20"/>
              </w:rPr>
              <w:t xml:space="preserve">X  </w:t>
            </w:r>
            <w:r>
              <w:rPr>
                <w:rFonts w:cs="Times New Roman"/>
                <w:szCs w:val="20"/>
              </w:rPr>
              <w:t>±</w:t>
            </w:r>
            <w:r>
              <w:rPr>
                <w:szCs w:val="20"/>
              </w:rPr>
              <w:t xml:space="preserve"> SE</w:t>
            </w:r>
          </w:p>
        </w:tc>
      </w:tr>
      <w:tr w:rsidR="00E81618" w:rsidTr="00C90D7C">
        <w:tc>
          <w:tcPr>
            <w:tcW w:w="1728" w:type="dxa"/>
          </w:tcPr>
          <w:p w:rsidR="00E81618" w:rsidRDefault="003F1634" w:rsidP="00915397">
            <w:pPr>
              <w:spacing w:line="480" w:lineRule="auto"/>
              <w:jc w:val="right"/>
              <w:rPr>
                <w:szCs w:val="20"/>
              </w:rPr>
            </w:pPr>
            <w:r>
              <w:rPr>
                <w:szCs w:val="20"/>
              </w:rPr>
              <w:t>10</w:t>
            </w:r>
          </w:p>
        </w:tc>
        <w:tc>
          <w:tcPr>
            <w:tcW w:w="1440" w:type="dxa"/>
          </w:tcPr>
          <w:p w:rsidR="00E81618" w:rsidRDefault="003F1634" w:rsidP="003F1634">
            <w:pPr>
              <w:spacing w:line="480" w:lineRule="auto"/>
              <w:jc w:val="center"/>
              <w:rPr>
                <w:szCs w:val="20"/>
              </w:rPr>
            </w:pPr>
            <w:r>
              <w:rPr>
                <w:szCs w:val="20"/>
              </w:rPr>
              <w:t xml:space="preserve">90.12 </w:t>
            </w:r>
            <w:r>
              <w:rPr>
                <w:rFonts w:cs="Times New Roman"/>
                <w:szCs w:val="20"/>
              </w:rPr>
              <w:t xml:space="preserve">± </w:t>
            </w:r>
            <w:r>
              <w:rPr>
                <w:szCs w:val="20"/>
              </w:rPr>
              <w:t>1.12</w:t>
            </w:r>
          </w:p>
        </w:tc>
        <w:tc>
          <w:tcPr>
            <w:tcW w:w="1440" w:type="dxa"/>
          </w:tcPr>
          <w:p w:rsidR="00E81618" w:rsidRDefault="003F1634" w:rsidP="003F1634">
            <w:pPr>
              <w:spacing w:line="480" w:lineRule="auto"/>
              <w:jc w:val="center"/>
              <w:rPr>
                <w:szCs w:val="20"/>
              </w:rPr>
            </w:pPr>
            <w:r>
              <w:rPr>
                <w:szCs w:val="20"/>
              </w:rPr>
              <w:t xml:space="preserve">94.51 </w:t>
            </w:r>
            <w:r>
              <w:rPr>
                <w:rFonts w:cs="Times New Roman"/>
                <w:szCs w:val="20"/>
              </w:rPr>
              <w:t>± 0.25</w:t>
            </w:r>
          </w:p>
        </w:tc>
        <w:tc>
          <w:tcPr>
            <w:tcW w:w="1800" w:type="dxa"/>
          </w:tcPr>
          <w:p w:rsidR="00E81618" w:rsidRDefault="003F1634" w:rsidP="003F1634">
            <w:pPr>
              <w:spacing w:line="480" w:lineRule="auto"/>
              <w:jc w:val="center"/>
              <w:rPr>
                <w:szCs w:val="20"/>
              </w:rPr>
            </w:pPr>
            <w:r>
              <w:rPr>
                <w:szCs w:val="20"/>
              </w:rPr>
              <w:t xml:space="preserve">98.51 </w:t>
            </w:r>
            <w:r>
              <w:rPr>
                <w:rFonts w:cs="Times New Roman"/>
                <w:szCs w:val="20"/>
              </w:rPr>
              <w:t>±  0.21</w:t>
            </w:r>
          </w:p>
        </w:tc>
      </w:tr>
      <w:tr w:rsidR="003F1634" w:rsidTr="00C90D7C">
        <w:tc>
          <w:tcPr>
            <w:tcW w:w="1728" w:type="dxa"/>
          </w:tcPr>
          <w:p w:rsidR="003F1634" w:rsidRDefault="003F1634" w:rsidP="00915397">
            <w:pPr>
              <w:spacing w:line="480" w:lineRule="auto"/>
              <w:jc w:val="right"/>
              <w:rPr>
                <w:szCs w:val="20"/>
              </w:rPr>
            </w:pPr>
            <w:r>
              <w:rPr>
                <w:szCs w:val="20"/>
              </w:rPr>
              <w:t>7</w:t>
            </w:r>
          </w:p>
        </w:tc>
        <w:tc>
          <w:tcPr>
            <w:tcW w:w="1440" w:type="dxa"/>
          </w:tcPr>
          <w:p w:rsidR="003F1634" w:rsidRDefault="003F1634" w:rsidP="003F1634">
            <w:pPr>
              <w:spacing w:line="480" w:lineRule="auto"/>
              <w:jc w:val="center"/>
              <w:rPr>
                <w:szCs w:val="20"/>
              </w:rPr>
            </w:pPr>
            <w:r>
              <w:rPr>
                <w:szCs w:val="20"/>
              </w:rPr>
              <w:t xml:space="preserve">58.26 </w:t>
            </w:r>
            <w:r>
              <w:rPr>
                <w:rFonts w:cs="Times New Roman"/>
                <w:szCs w:val="20"/>
              </w:rPr>
              <w:t>± 2.11</w:t>
            </w:r>
          </w:p>
        </w:tc>
        <w:tc>
          <w:tcPr>
            <w:tcW w:w="1440" w:type="dxa"/>
          </w:tcPr>
          <w:p w:rsidR="003F1634" w:rsidRDefault="003F1634" w:rsidP="003F1634">
            <w:pPr>
              <w:spacing w:line="480" w:lineRule="auto"/>
              <w:jc w:val="center"/>
              <w:rPr>
                <w:szCs w:val="20"/>
              </w:rPr>
            </w:pPr>
            <w:r>
              <w:rPr>
                <w:szCs w:val="20"/>
              </w:rPr>
              <w:t xml:space="preserve">85.30 </w:t>
            </w:r>
            <w:r>
              <w:rPr>
                <w:rFonts w:cs="Times New Roman"/>
                <w:szCs w:val="20"/>
              </w:rPr>
              <w:t>± 0.90</w:t>
            </w:r>
          </w:p>
        </w:tc>
        <w:tc>
          <w:tcPr>
            <w:tcW w:w="1800" w:type="dxa"/>
          </w:tcPr>
          <w:p w:rsidR="003F1634" w:rsidRDefault="003F1634" w:rsidP="003F1634">
            <w:pPr>
              <w:spacing w:line="480" w:lineRule="auto"/>
              <w:jc w:val="center"/>
              <w:rPr>
                <w:szCs w:val="20"/>
              </w:rPr>
            </w:pPr>
            <w:r>
              <w:rPr>
                <w:szCs w:val="20"/>
              </w:rPr>
              <w:t>94.9 0</w:t>
            </w:r>
            <w:r>
              <w:rPr>
                <w:rFonts w:cs="Times New Roman"/>
                <w:szCs w:val="20"/>
              </w:rPr>
              <w:t>± 0.40</w:t>
            </w:r>
          </w:p>
        </w:tc>
      </w:tr>
      <w:tr w:rsidR="00E81618" w:rsidTr="00C90D7C">
        <w:tc>
          <w:tcPr>
            <w:tcW w:w="1728" w:type="dxa"/>
          </w:tcPr>
          <w:p w:rsidR="00E81618" w:rsidRDefault="003F1634" w:rsidP="00915397">
            <w:pPr>
              <w:spacing w:line="480" w:lineRule="auto"/>
              <w:jc w:val="right"/>
              <w:rPr>
                <w:szCs w:val="20"/>
              </w:rPr>
            </w:pPr>
            <w:r>
              <w:rPr>
                <w:szCs w:val="20"/>
              </w:rPr>
              <w:t>5</w:t>
            </w:r>
          </w:p>
        </w:tc>
        <w:tc>
          <w:tcPr>
            <w:tcW w:w="1440" w:type="dxa"/>
          </w:tcPr>
          <w:p w:rsidR="00E81618" w:rsidRDefault="003F1634" w:rsidP="003F1634">
            <w:pPr>
              <w:spacing w:line="480" w:lineRule="auto"/>
              <w:jc w:val="center"/>
              <w:rPr>
                <w:szCs w:val="20"/>
              </w:rPr>
            </w:pPr>
            <w:r>
              <w:rPr>
                <w:szCs w:val="20"/>
              </w:rPr>
              <w:t xml:space="preserve">29.11 </w:t>
            </w:r>
            <w:r>
              <w:rPr>
                <w:rFonts w:cs="Times New Roman"/>
                <w:szCs w:val="20"/>
              </w:rPr>
              <w:t>± 0.78</w:t>
            </w:r>
          </w:p>
        </w:tc>
        <w:tc>
          <w:tcPr>
            <w:tcW w:w="1440" w:type="dxa"/>
          </w:tcPr>
          <w:p w:rsidR="00E81618" w:rsidRDefault="003F1634" w:rsidP="003F1634">
            <w:pPr>
              <w:spacing w:line="480" w:lineRule="auto"/>
              <w:jc w:val="center"/>
              <w:rPr>
                <w:szCs w:val="20"/>
              </w:rPr>
            </w:pPr>
            <w:r>
              <w:rPr>
                <w:szCs w:val="20"/>
              </w:rPr>
              <w:t xml:space="preserve">74.11 </w:t>
            </w:r>
            <w:r>
              <w:rPr>
                <w:rFonts w:cs="Times New Roman"/>
                <w:szCs w:val="20"/>
              </w:rPr>
              <w:t>± 0.25</w:t>
            </w:r>
          </w:p>
        </w:tc>
        <w:tc>
          <w:tcPr>
            <w:tcW w:w="1800" w:type="dxa"/>
          </w:tcPr>
          <w:p w:rsidR="00E81618" w:rsidRDefault="003F1634" w:rsidP="003F1634">
            <w:pPr>
              <w:spacing w:line="480" w:lineRule="auto"/>
              <w:jc w:val="center"/>
              <w:rPr>
                <w:szCs w:val="20"/>
              </w:rPr>
            </w:pPr>
            <w:r>
              <w:rPr>
                <w:szCs w:val="20"/>
              </w:rPr>
              <w:t xml:space="preserve">88.23 </w:t>
            </w:r>
            <w:r>
              <w:rPr>
                <w:rFonts w:cs="Times New Roman"/>
                <w:szCs w:val="20"/>
              </w:rPr>
              <w:t>± 0.67</w:t>
            </w:r>
          </w:p>
        </w:tc>
      </w:tr>
      <w:tr w:rsidR="00E81618" w:rsidTr="00C90D7C">
        <w:tc>
          <w:tcPr>
            <w:tcW w:w="1728" w:type="dxa"/>
          </w:tcPr>
          <w:p w:rsidR="00E81618" w:rsidRDefault="003F1634" w:rsidP="00915397">
            <w:pPr>
              <w:spacing w:line="480" w:lineRule="auto"/>
              <w:jc w:val="right"/>
              <w:rPr>
                <w:szCs w:val="20"/>
              </w:rPr>
            </w:pPr>
            <w:r>
              <w:rPr>
                <w:szCs w:val="20"/>
              </w:rPr>
              <w:t>2.5</w:t>
            </w:r>
          </w:p>
        </w:tc>
        <w:tc>
          <w:tcPr>
            <w:tcW w:w="1440" w:type="dxa"/>
          </w:tcPr>
          <w:p w:rsidR="00E81618" w:rsidRDefault="003F1634" w:rsidP="003F1634">
            <w:pPr>
              <w:spacing w:line="480" w:lineRule="auto"/>
              <w:jc w:val="center"/>
              <w:rPr>
                <w:szCs w:val="20"/>
              </w:rPr>
            </w:pPr>
            <w:r>
              <w:rPr>
                <w:szCs w:val="20"/>
              </w:rPr>
              <w:t xml:space="preserve">5.34 </w:t>
            </w:r>
            <w:r>
              <w:rPr>
                <w:rFonts w:cs="Times New Roman"/>
                <w:szCs w:val="20"/>
              </w:rPr>
              <w:t>± 0.74</w:t>
            </w:r>
          </w:p>
        </w:tc>
        <w:tc>
          <w:tcPr>
            <w:tcW w:w="1440" w:type="dxa"/>
          </w:tcPr>
          <w:p w:rsidR="00E81618" w:rsidRDefault="003F1634" w:rsidP="003F1634">
            <w:pPr>
              <w:spacing w:line="480" w:lineRule="auto"/>
              <w:jc w:val="center"/>
              <w:rPr>
                <w:szCs w:val="20"/>
              </w:rPr>
            </w:pPr>
            <w:r>
              <w:rPr>
                <w:szCs w:val="20"/>
              </w:rPr>
              <w:t xml:space="preserve">51.74 </w:t>
            </w:r>
            <w:r>
              <w:rPr>
                <w:rFonts w:cs="Times New Roman"/>
                <w:szCs w:val="20"/>
              </w:rPr>
              <w:t>± 0.64</w:t>
            </w:r>
          </w:p>
        </w:tc>
        <w:tc>
          <w:tcPr>
            <w:tcW w:w="1800" w:type="dxa"/>
          </w:tcPr>
          <w:p w:rsidR="00E81618" w:rsidRDefault="003F1634" w:rsidP="003F1634">
            <w:pPr>
              <w:spacing w:line="480" w:lineRule="auto"/>
              <w:jc w:val="center"/>
              <w:rPr>
                <w:szCs w:val="20"/>
              </w:rPr>
            </w:pPr>
            <w:r>
              <w:rPr>
                <w:szCs w:val="20"/>
              </w:rPr>
              <w:t xml:space="preserve">73.10 </w:t>
            </w:r>
            <w:r>
              <w:rPr>
                <w:rFonts w:cs="Times New Roman"/>
                <w:szCs w:val="20"/>
              </w:rPr>
              <w:t>± 0.73</w:t>
            </w:r>
          </w:p>
        </w:tc>
      </w:tr>
      <w:tr w:rsidR="00E81618" w:rsidTr="00C90D7C">
        <w:tc>
          <w:tcPr>
            <w:tcW w:w="1728" w:type="dxa"/>
          </w:tcPr>
          <w:p w:rsidR="00E81618" w:rsidRDefault="00ED78B5" w:rsidP="00915397">
            <w:pPr>
              <w:spacing w:line="480" w:lineRule="auto"/>
              <w:jc w:val="right"/>
              <w:rPr>
                <w:szCs w:val="20"/>
              </w:rPr>
            </w:pPr>
            <w:r>
              <w:rPr>
                <w:szCs w:val="20"/>
              </w:rPr>
              <w:t>1</w:t>
            </w:r>
          </w:p>
        </w:tc>
        <w:tc>
          <w:tcPr>
            <w:tcW w:w="1440" w:type="dxa"/>
          </w:tcPr>
          <w:p w:rsidR="00E81618" w:rsidRDefault="003F1634" w:rsidP="003F1634">
            <w:pPr>
              <w:spacing w:line="480" w:lineRule="auto"/>
              <w:jc w:val="center"/>
              <w:rPr>
                <w:szCs w:val="20"/>
              </w:rPr>
            </w:pPr>
            <w:r>
              <w:rPr>
                <w:szCs w:val="20"/>
              </w:rPr>
              <w:t>0</w:t>
            </w:r>
          </w:p>
        </w:tc>
        <w:tc>
          <w:tcPr>
            <w:tcW w:w="1440" w:type="dxa"/>
          </w:tcPr>
          <w:p w:rsidR="00E81618" w:rsidRDefault="003F1634" w:rsidP="003F1634">
            <w:pPr>
              <w:spacing w:line="480" w:lineRule="auto"/>
              <w:jc w:val="center"/>
              <w:rPr>
                <w:szCs w:val="20"/>
              </w:rPr>
            </w:pPr>
            <w:r>
              <w:rPr>
                <w:szCs w:val="20"/>
              </w:rPr>
              <w:t xml:space="preserve">11.10 </w:t>
            </w:r>
            <w:r>
              <w:rPr>
                <w:rFonts w:cs="Times New Roman"/>
                <w:szCs w:val="20"/>
              </w:rPr>
              <w:t>± 0.32</w:t>
            </w:r>
          </w:p>
        </w:tc>
        <w:tc>
          <w:tcPr>
            <w:tcW w:w="1800" w:type="dxa"/>
          </w:tcPr>
          <w:p w:rsidR="00E81618" w:rsidRDefault="003F1634" w:rsidP="003F1634">
            <w:pPr>
              <w:spacing w:line="480" w:lineRule="auto"/>
              <w:jc w:val="center"/>
              <w:rPr>
                <w:szCs w:val="20"/>
              </w:rPr>
            </w:pPr>
            <w:r>
              <w:rPr>
                <w:szCs w:val="20"/>
              </w:rPr>
              <w:t xml:space="preserve">31.10 </w:t>
            </w:r>
            <w:r>
              <w:rPr>
                <w:rFonts w:cs="Times New Roman"/>
                <w:szCs w:val="20"/>
              </w:rPr>
              <w:t>± 0.11</w:t>
            </w:r>
          </w:p>
        </w:tc>
      </w:tr>
      <w:tr w:rsidR="00915397" w:rsidTr="00C90D7C">
        <w:tc>
          <w:tcPr>
            <w:tcW w:w="1728" w:type="dxa"/>
          </w:tcPr>
          <w:p w:rsidR="00915397" w:rsidRDefault="00E81618" w:rsidP="00915397">
            <w:pPr>
              <w:spacing w:line="480" w:lineRule="auto"/>
              <w:jc w:val="right"/>
              <w:rPr>
                <w:szCs w:val="20"/>
              </w:rPr>
            </w:pPr>
            <w:r>
              <w:rPr>
                <w:szCs w:val="20"/>
              </w:rPr>
              <w:t>LC</w:t>
            </w:r>
            <w:r>
              <w:rPr>
                <w:szCs w:val="20"/>
                <w:vertAlign w:val="subscript"/>
              </w:rPr>
              <w:t>50</w:t>
            </w:r>
          </w:p>
        </w:tc>
        <w:tc>
          <w:tcPr>
            <w:tcW w:w="1440" w:type="dxa"/>
          </w:tcPr>
          <w:p w:rsidR="00915397" w:rsidRDefault="003F1634" w:rsidP="003F1634">
            <w:pPr>
              <w:spacing w:line="480" w:lineRule="auto"/>
              <w:jc w:val="center"/>
              <w:rPr>
                <w:szCs w:val="20"/>
              </w:rPr>
            </w:pPr>
            <w:r>
              <w:rPr>
                <w:szCs w:val="20"/>
              </w:rPr>
              <w:t>5.9</w:t>
            </w:r>
          </w:p>
        </w:tc>
        <w:tc>
          <w:tcPr>
            <w:tcW w:w="1440" w:type="dxa"/>
          </w:tcPr>
          <w:p w:rsidR="00915397" w:rsidRDefault="003F1634" w:rsidP="003F1634">
            <w:pPr>
              <w:spacing w:line="480" w:lineRule="auto"/>
              <w:jc w:val="center"/>
              <w:rPr>
                <w:szCs w:val="20"/>
              </w:rPr>
            </w:pPr>
            <w:r>
              <w:rPr>
                <w:szCs w:val="20"/>
              </w:rPr>
              <w:t>2.6</w:t>
            </w:r>
          </w:p>
        </w:tc>
        <w:tc>
          <w:tcPr>
            <w:tcW w:w="1800" w:type="dxa"/>
          </w:tcPr>
          <w:p w:rsidR="00915397" w:rsidRDefault="003F1634" w:rsidP="003F1634">
            <w:pPr>
              <w:spacing w:line="480" w:lineRule="auto"/>
              <w:jc w:val="center"/>
              <w:rPr>
                <w:szCs w:val="20"/>
              </w:rPr>
            </w:pPr>
            <w:r>
              <w:rPr>
                <w:szCs w:val="20"/>
              </w:rPr>
              <w:t>1.4</w:t>
            </w:r>
          </w:p>
        </w:tc>
      </w:tr>
    </w:tbl>
    <w:p w:rsidR="00ED5069" w:rsidRDefault="00ED5069"/>
    <w:p w:rsidR="006259B1" w:rsidRPr="00760B34" w:rsidRDefault="006259B1" w:rsidP="00760B34">
      <w:pPr>
        <w:jc w:val="right"/>
        <w:rPr>
          <w:rFonts w:asciiTheme="minorBidi" w:hAnsiTheme="minorBidi" w:cstheme="minorBidi"/>
          <w:szCs w:val="20"/>
        </w:rPr>
      </w:pPr>
      <w:r w:rsidRPr="00760B34">
        <w:rPr>
          <w:rFonts w:asciiTheme="minorBidi" w:hAnsiTheme="minorBidi" w:cstheme="minorBidi"/>
          <w:szCs w:val="20"/>
        </w:rPr>
        <w:t>Table (2): Susceptibility of the early 2</w:t>
      </w:r>
      <w:r w:rsidRPr="00760B34">
        <w:rPr>
          <w:rFonts w:asciiTheme="minorBidi" w:hAnsiTheme="minorBidi" w:cstheme="minorBidi"/>
          <w:szCs w:val="20"/>
          <w:vertAlign w:val="superscript"/>
        </w:rPr>
        <w:t>nd</w:t>
      </w:r>
      <w:r w:rsidRPr="00760B34">
        <w:rPr>
          <w:rFonts w:asciiTheme="minorBidi" w:hAnsiTheme="minorBidi" w:cstheme="minorBidi"/>
          <w:szCs w:val="20"/>
        </w:rPr>
        <w:t xml:space="preserve">  instar of  </w:t>
      </w:r>
      <w:r w:rsidRPr="00760B34">
        <w:rPr>
          <w:rFonts w:asciiTheme="minorBidi" w:hAnsiTheme="minorBidi" w:cstheme="minorBidi"/>
          <w:i/>
          <w:iCs/>
          <w:szCs w:val="20"/>
        </w:rPr>
        <w:t>C. pipiens</w:t>
      </w:r>
      <w:r w:rsidRPr="00760B34">
        <w:rPr>
          <w:rFonts w:asciiTheme="minorBidi" w:hAnsiTheme="minorBidi" w:cstheme="minorBidi"/>
          <w:szCs w:val="20"/>
        </w:rPr>
        <w:t xml:space="preserve"> larvae  to photoinsecticide hematoporphyrin at different time of exposure ( 24, 48 &amp; 72 hours) &amp; after irradiation with 380-400 W/M</w:t>
      </w:r>
      <w:r w:rsidRPr="00760B34">
        <w:rPr>
          <w:rFonts w:asciiTheme="minorBidi" w:hAnsiTheme="minorBidi" w:cstheme="minorBidi"/>
          <w:szCs w:val="20"/>
          <w:vertAlign w:val="superscript"/>
        </w:rPr>
        <w:t xml:space="preserve">2 </w:t>
      </w:r>
      <w:r w:rsidRPr="00760B34">
        <w:rPr>
          <w:rFonts w:asciiTheme="minorBidi" w:hAnsiTheme="minorBidi" w:cstheme="minorBidi"/>
          <w:szCs w:val="20"/>
        </w:rPr>
        <w:t xml:space="preserve">eartificial lights.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1440"/>
        <w:gridCol w:w="1440"/>
        <w:gridCol w:w="1800"/>
      </w:tblGrid>
      <w:tr w:rsidR="006259B1" w:rsidTr="00C90D7C">
        <w:tc>
          <w:tcPr>
            <w:tcW w:w="1728" w:type="dxa"/>
            <w:vMerge w:val="restart"/>
          </w:tcPr>
          <w:p w:rsidR="006259B1" w:rsidRDefault="006259B1" w:rsidP="00C90D7C">
            <w:pPr>
              <w:spacing w:line="480" w:lineRule="auto"/>
              <w:jc w:val="right"/>
              <w:rPr>
                <w:szCs w:val="20"/>
              </w:rPr>
            </w:pPr>
            <w:r>
              <w:rPr>
                <w:szCs w:val="20"/>
              </w:rPr>
              <w:t>Concentration</w:t>
            </w:r>
          </w:p>
          <w:p w:rsidR="006259B1" w:rsidRDefault="006259B1" w:rsidP="00C90D7C">
            <w:pPr>
              <w:spacing w:line="480" w:lineRule="auto"/>
              <w:jc w:val="right"/>
              <w:rPr>
                <w:szCs w:val="20"/>
              </w:rPr>
            </w:pPr>
            <w:r>
              <w:rPr>
                <w:szCs w:val="20"/>
              </w:rPr>
              <w:t>( mM / ml )</w:t>
            </w:r>
          </w:p>
        </w:tc>
        <w:tc>
          <w:tcPr>
            <w:tcW w:w="4680" w:type="dxa"/>
            <w:gridSpan w:val="3"/>
          </w:tcPr>
          <w:p w:rsidR="006259B1" w:rsidRDefault="006259B1" w:rsidP="00C90D7C">
            <w:pPr>
              <w:spacing w:line="480" w:lineRule="auto"/>
              <w:jc w:val="center"/>
              <w:rPr>
                <w:szCs w:val="20"/>
              </w:rPr>
            </w:pPr>
            <w:r>
              <w:rPr>
                <w:szCs w:val="20"/>
              </w:rPr>
              <w:t>Averages of corrected mortality percent</w:t>
            </w:r>
          </w:p>
        </w:tc>
      </w:tr>
      <w:tr w:rsidR="006259B1" w:rsidTr="00C90D7C">
        <w:tc>
          <w:tcPr>
            <w:tcW w:w="1728" w:type="dxa"/>
            <w:vMerge/>
          </w:tcPr>
          <w:p w:rsidR="006259B1" w:rsidRDefault="006259B1" w:rsidP="00C90D7C">
            <w:pPr>
              <w:spacing w:line="480" w:lineRule="auto"/>
              <w:jc w:val="right"/>
              <w:rPr>
                <w:szCs w:val="20"/>
              </w:rPr>
            </w:pPr>
          </w:p>
        </w:tc>
        <w:tc>
          <w:tcPr>
            <w:tcW w:w="1440" w:type="dxa"/>
          </w:tcPr>
          <w:p w:rsidR="006259B1" w:rsidRPr="00E81618" w:rsidRDefault="006259B1" w:rsidP="00C90D7C">
            <w:pPr>
              <w:spacing w:line="480" w:lineRule="auto"/>
              <w:jc w:val="center"/>
              <w:rPr>
                <w:szCs w:val="20"/>
              </w:rPr>
            </w:pPr>
            <w:r>
              <w:rPr>
                <w:szCs w:val="20"/>
              </w:rPr>
              <w:t>24h</w:t>
            </w:r>
          </w:p>
        </w:tc>
        <w:tc>
          <w:tcPr>
            <w:tcW w:w="1440" w:type="dxa"/>
          </w:tcPr>
          <w:p w:rsidR="006259B1" w:rsidRDefault="006259B1" w:rsidP="00C90D7C">
            <w:pPr>
              <w:spacing w:line="480" w:lineRule="auto"/>
              <w:jc w:val="center"/>
              <w:rPr>
                <w:szCs w:val="20"/>
              </w:rPr>
            </w:pPr>
            <w:r>
              <w:rPr>
                <w:szCs w:val="20"/>
              </w:rPr>
              <w:t>48h</w:t>
            </w:r>
          </w:p>
        </w:tc>
        <w:tc>
          <w:tcPr>
            <w:tcW w:w="1800" w:type="dxa"/>
          </w:tcPr>
          <w:p w:rsidR="006259B1" w:rsidRDefault="006259B1" w:rsidP="00C90D7C">
            <w:pPr>
              <w:spacing w:line="480" w:lineRule="auto"/>
              <w:jc w:val="center"/>
              <w:rPr>
                <w:szCs w:val="20"/>
              </w:rPr>
            </w:pPr>
            <w:r>
              <w:rPr>
                <w:szCs w:val="20"/>
              </w:rPr>
              <w:t>72h</w:t>
            </w:r>
          </w:p>
        </w:tc>
      </w:tr>
      <w:tr w:rsidR="006259B1" w:rsidTr="00C90D7C">
        <w:tc>
          <w:tcPr>
            <w:tcW w:w="1728" w:type="dxa"/>
            <w:vMerge/>
          </w:tcPr>
          <w:p w:rsidR="006259B1" w:rsidRDefault="006259B1" w:rsidP="00C90D7C">
            <w:pPr>
              <w:spacing w:line="480" w:lineRule="auto"/>
              <w:jc w:val="right"/>
              <w:rPr>
                <w:szCs w:val="20"/>
              </w:rPr>
            </w:pPr>
          </w:p>
        </w:tc>
        <w:tc>
          <w:tcPr>
            <w:tcW w:w="1440" w:type="dxa"/>
          </w:tcPr>
          <w:p w:rsidR="006259B1" w:rsidRDefault="006259B1" w:rsidP="00C90D7C">
            <w:pPr>
              <w:spacing w:line="480" w:lineRule="auto"/>
              <w:jc w:val="center"/>
              <w:rPr>
                <w:szCs w:val="20"/>
              </w:rPr>
            </w:pPr>
            <w:r>
              <w:rPr>
                <w:szCs w:val="20"/>
              </w:rPr>
              <w:t xml:space="preserve">X  </w:t>
            </w:r>
            <w:r>
              <w:rPr>
                <w:rFonts w:cs="Times New Roman"/>
                <w:szCs w:val="20"/>
              </w:rPr>
              <w:t>±</w:t>
            </w:r>
            <w:r>
              <w:rPr>
                <w:szCs w:val="20"/>
              </w:rPr>
              <w:t xml:space="preserve"> SE</w:t>
            </w:r>
          </w:p>
        </w:tc>
        <w:tc>
          <w:tcPr>
            <w:tcW w:w="1440" w:type="dxa"/>
          </w:tcPr>
          <w:p w:rsidR="006259B1" w:rsidRDefault="006259B1" w:rsidP="00C90D7C">
            <w:pPr>
              <w:spacing w:line="480" w:lineRule="auto"/>
              <w:jc w:val="center"/>
              <w:rPr>
                <w:szCs w:val="20"/>
              </w:rPr>
            </w:pPr>
            <w:r>
              <w:rPr>
                <w:szCs w:val="20"/>
              </w:rPr>
              <w:t xml:space="preserve">X  </w:t>
            </w:r>
            <w:r>
              <w:rPr>
                <w:rFonts w:cs="Times New Roman"/>
                <w:szCs w:val="20"/>
              </w:rPr>
              <w:t>±</w:t>
            </w:r>
            <w:r>
              <w:rPr>
                <w:szCs w:val="20"/>
              </w:rPr>
              <w:t xml:space="preserve"> SE</w:t>
            </w:r>
          </w:p>
        </w:tc>
        <w:tc>
          <w:tcPr>
            <w:tcW w:w="1800" w:type="dxa"/>
          </w:tcPr>
          <w:p w:rsidR="006259B1" w:rsidRDefault="006259B1" w:rsidP="00C90D7C">
            <w:pPr>
              <w:spacing w:line="480" w:lineRule="auto"/>
              <w:jc w:val="center"/>
              <w:rPr>
                <w:szCs w:val="20"/>
              </w:rPr>
            </w:pPr>
            <w:r>
              <w:rPr>
                <w:szCs w:val="20"/>
              </w:rPr>
              <w:t xml:space="preserve">X  </w:t>
            </w:r>
            <w:r>
              <w:rPr>
                <w:rFonts w:cs="Times New Roman"/>
                <w:szCs w:val="20"/>
              </w:rPr>
              <w:t>±</w:t>
            </w:r>
            <w:r>
              <w:rPr>
                <w:szCs w:val="20"/>
              </w:rPr>
              <w:t xml:space="preserve"> SE</w:t>
            </w:r>
          </w:p>
        </w:tc>
      </w:tr>
      <w:tr w:rsidR="006259B1" w:rsidTr="00C90D7C">
        <w:tc>
          <w:tcPr>
            <w:tcW w:w="1728" w:type="dxa"/>
          </w:tcPr>
          <w:p w:rsidR="006259B1" w:rsidRDefault="006259B1" w:rsidP="00C90D7C">
            <w:pPr>
              <w:spacing w:line="480" w:lineRule="auto"/>
              <w:jc w:val="right"/>
              <w:rPr>
                <w:szCs w:val="20"/>
              </w:rPr>
            </w:pPr>
            <w:r>
              <w:rPr>
                <w:szCs w:val="20"/>
              </w:rPr>
              <w:t>10</w:t>
            </w:r>
          </w:p>
        </w:tc>
        <w:tc>
          <w:tcPr>
            <w:tcW w:w="1440" w:type="dxa"/>
          </w:tcPr>
          <w:p w:rsidR="006259B1" w:rsidRDefault="006259B1" w:rsidP="00C90D7C">
            <w:pPr>
              <w:spacing w:line="480" w:lineRule="auto"/>
              <w:jc w:val="center"/>
              <w:rPr>
                <w:szCs w:val="20"/>
              </w:rPr>
            </w:pPr>
            <w:r>
              <w:rPr>
                <w:szCs w:val="20"/>
              </w:rPr>
              <w:t>100</w:t>
            </w:r>
          </w:p>
        </w:tc>
        <w:tc>
          <w:tcPr>
            <w:tcW w:w="1440" w:type="dxa"/>
          </w:tcPr>
          <w:p w:rsidR="006259B1" w:rsidRDefault="006259B1" w:rsidP="00C90D7C">
            <w:pPr>
              <w:spacing w:line="480" w:lineRule="auto"/>
              <w:jc w:val="center"/>
              <w:rPr>
                <w:szCs w:val="20"/>
              </w:rPr>
            </w:pPr>
          </w:p>
        </w:tc>
        <w:tc>
          <w:tcPr>
            <w:tcW w:w="1800" w:type="dxa"/>
          </w:tcPr>
          <w:p w:rsidR="006259B1" w:rsidRDefault="006259B1" w:rsidP="00C90D7C">
            <w:pPr>
              <w:spacing w:line="480" w:lineRule="auto"/>
              <w:jc w:val="center"/>
              <w:rPr>
                <w:szCs w:val="20"/>
              </w:rPr>
            </w:pPr>
          </w:p>
        </w:tc>
      </w:tr>
      <w:tr w:rsidR="006259B1" w:rsidTr="00C90D7C">
        <w:tc>
          <w:tcPr>
            <w:tcW w:w="1728" w:type="dxa"/>
          </w:tcPr>
          <w:p w:rsidR="006259B1" w:rsidRDefault="006259B1" w:rsidP="00C90D7C">
            <w:pPr>
              <w:spacing w:line="480" w:lineRule="auto"/>
              <w:jc w:val="right"/>
              <w:rPr>
                <w:szCs w:val="20"/>
              </w:rPr>
            </w:pPr>
            <w:r>
              <w:rPr>
                <w:szCs w:val="20"/>
              </w:rPr>
              <w:t>7</w:t>
            </w:r>
          </w:p>
        </w:tc>
        <w:tc>
          <w:tcPr>
            <w:tcW w:w="1440" w:type="dxa"/>
          </w:tcPr>
          <w:p w:rsidR="006259B1" w:rsidRDefault="006259B1" w:rsidP="00C90D7C">
            <w:pPr>
              <w:spacing w:line="480" w:lineRule="auto"/>
              <w:jc w:val="center"/>
              <w:rPr>
                <w:szCs w:val="20"/>
              </w:rPr>
            </w:pPr>
            <w:r>
              <w:rPr>
                <w:szCs w:val="20"/>
              </w:rPr>
              <w:t xml:space="preserve">88.12 </w:t>
            </w:r>
            <w:r>
              <w:rPr>
                <w:rFonts w:cs="Times New Roman"/>
                <w:szCs w:val="20"/>
              </w:rPr>
              <w:t>± .13</w:t>
            </w:r>
          </w:p>
        </w:tc>
        <w:tc>
          <w:tcPr>
            <w:tcW w:w="1440" w:type="dxa"/>
          </w:tcPr>
          <w:p w:rsidR="006259B1" w:rsidRDefault="006259B1" w:rsidP="00C90D7C">
            <w:pPr>
              <w:spacing w:line="480" w:lineRule="auto"/>
              <w:jc w:val="center"/>
              <w:rPr>
                <w:szCs w:val="20"/>
              </w:rPr>
            </w:pPr>
            <w:r>
              <w:rPr>
                <w:szCs w:val="20"/>
              </w:rPr>
              <w:t xml:space="preserve">98.10 </w:t>
            </w:r>
            <w:r>
              <w:rPr>
                <w:rFonts w:cs="Times New Roman"/>
                <w:szCs w:val="20"/>
              </w:rPr>
              <w:t>± 0.60</w:t>
            </w:r>
          </w:p>
        </w:tc>
        <w:tc>
          <w:tcPr>
            <w:tcW w:w="1800" w:type="dxa"/>
          </w:tcPr>
          <w:p w:rsidR="006259B1" w:rsidRDefault="006259B1" w:rsidP="00C90D7C">
            <w:pPr>
              <w:spacing w:line="480" w:lineRule="auto"/>
              <w:jc w:val="center"/>
              <w:rPr>
                <w:szCs w:val="20"/>
              </w:rPr>
            </w:pPr>
            <w:r>
              <w:rPr>
                <w:szCs w:val="20"/>
              </w:rPr>
              <w:t>100</w:t>
            </w:r>
          </w:p>
        </w:tc>
      </w:tr>
      <w:tr w:rsidR="006259B1" w:rsidTr="00C90D7C">
        <w:tc>
          <w:tcPr>
            <w:tcW w:w="1728" w:type="dxa"/>
          </w:tcPr>
          <w:p w:rsidR="006259B1" w:rsidRDefault="006259B1" w:rsidP="00C90D7C">
            <w:pPr>
              <w:spacing w:line="480" w:lineRule="auto"/>
              <w:jc w:val="right"/>
              <w:rPr>
                <w:szCs w:val="20"/>
              </w:rPr>
            </w:pPr>
            <w:r>
              <w:rPr>
                <w:szCs w:val="20"/>
              </w:rPr>
              <w:t>5</w:t>
            </w:r>
          </w:p>
        </w:tc>
        <w:tc>
          <w:tcPr>
            <w:tcW w:w="1440" w:type="dxa"/>
          </w:tcPr>
          <w:p w:rsidR="006259B1" w:rsidRDefault="006259B1" w:rsidP="00C90D7C">
            <w:pPr>
              <w:spacing w:line="480" w:lineRule="auto"/>
              <w:jc w:val="center"/>
              <w:rPr>
                <w:szCs w:val="20"/>
              </w:rPr>
            </w:pPr>
            <w:r>
              <w:rPr>
                <w:szCs w:val="20"/>
              </w:rPr>
              <w:t xml:space="preserve">84.31 </w:t>
            </w:r>
            <w:r>
              <w:rPr>
                <w:rFonts w:cs="Times New Roman"/>
                <w:szCs w:val="20"/>
              </w:rPr>
              <w:t>± 0.40</w:t>
            </w:r>
          </w:p>
        </w:tc>
        <w:tc>
          <w:tcPr>
            <w:tcW w:w="1440" w:type="dxa"/>
          </w:tcPr>
          <w:p w:rsidR="006259B1" w:rsidRDefault="006259B1" w:rsidP="00C90D7C">
            <w:pPr>
              <w:spacing w:line="480" w:lineRule="auto"/>
              <w:jc w:val="center"/>
              <w:rPr>
                <w:szCs w:val="20"/>
              </w:rPr>
            </w:pPr>
            <w:r>
              <w:rPr>
                <w:szCs w:val="20"/>
              </w:rPr>
              <w:t xml:space="preserve">93.1 </w:t>
            </w:r>
            <w:r>
              <w:rPr>
                <w:rFonts w:cs="Times New Roman"/>
                <w:szCs w:val="20"/>
              </w:rPr>
              <w:t>± 0.51</w:t>
            </w:r>
          </w:p>
        </w:tc>
        <w:tc>
          <w:tcPr>
            <w:tcW w:w="1800" w:type="dxa"/>
          </w:tcPr>
          <w:p w:rsidR="006259B1" w:rsidRDefault="006259B1" w:rsidP="00C90D7C">
            <w:pPr>
              <w:spacing w:line="480" w:lineRule="auto"/>
              <w:jc w:val="center"/>
              <w:rPr>
                <w:szCs w:val="20"/>
              </w:rPr>
            </w:pPr>
            <w:r>
              <w:rPr>
                <w:szCs w:val="20"/>
              </w:rPr>
              <w:t xml:space="preserve">96.1 </w:t>
            </w:r>
            <w:r>
              <w:rPr>
                <w:rFonts w:cs="Times New Roman"/>
                <w:szCs w:val="20"/>
              </w:rPr>
              <w:t>± 0.7</w:t>
            </w:r>
          </w:p>
        </w:tc>
      </w:tr>
      <w:tr w:rsidR="006259B1" w:rsidTr="00C90D7C">
        <w:tc>
          <w:tcPr>
            <w:tcW w:w="1728" w:type="dxa"/>
          </w:tcPr>
          <w:p w:rsidR="006259B1" w:rsidRDefault="006259B1" w:rsidP="00C90D7C">
            <w:pPr>
              <w:spacing w:line="480" w:lineRule="auto"/>
              <w:jc w:val="right"/>
              <w:rPr>
                <w:szCs w:val="20"/>
              </w:rPr>
            </w:pPr>
            <w:r>
              <w:rPr>
                <w:szCs w:val="20"/>
              </w:rPr>
              <w:t>2.5</w:t>
            </w:r>
          </w:p>
        </w:tc>
        <w:tc>
          <w:tcPr>
            <w:tcW w:w="1440" w:type="dxa"/>
          </w:tcPr>
          <w:p w:rsidR="006259B1" w:rsidRDefault="006259B1" w:rsidP="00C90D7C">
            <w:pPr>
              <w:spacing w:line="480" w:lineRule="auto"/>
              <w:jc w:val="center"/>
              <w:rPr>
                <w:szCs w:val="20"/>
              </w:rPr>
            </w:pPr>
            <w:r>
              <w:rPr>
                <w:szCs w:val="20"/>
              </w:rPr>
              <w:t xml:space="preserve">61.5 </w:t>
            </w:r>
            <w:r>
              <w:rPr>
                <w:rFonts w:cs="Times New Roman"/>
                <w:szCs w:val="20"/>
              </w:rPr>
              <w:t>± 0.44</w:t>
            </w:r>
          </w:p>
        </w:tc>
        <w:tc>
          <w:tcPr>
            <w:tcW w:w="1440" w:type="dxa"/>
          </w:tcPr>
          <w:p w:rsidR="006259B1" w:rsidRDefault="006259B1" w:rsidP="00C90D7C">
            <w:pPr>
              <w:spacing w:line="480" w:lineRule="auto"/>
              <w:jc w:val="center"/>
              <w:rPr>
                <w:szCs w:val="20"/>
              </w:rPr>
            </w:pPr>
            <w:r>
              <w:rPr>
                <w:rFonts w:cs="Times New Roman"/>
                <w:szCs w:val="20"/>
              </w:rPr>
              <w:t>82.1 ± 0.54</w:t>
            </w:r>
          </w:p>
        </w:tc>
        <w:tc>
          <w:tcPr>
            <w:tcW w:w="1800" w:type="dxa"/>
          </w:tcPr>
          <w:p w:rsidR="006259B1" w:rsidRDefault="006259B1" w:rsidP="00C90D7C">
            <w:pPr>
              <w:spacing w:line="480" w:lineRule="auto"/>
              <w:jc w:val="center"/>
              <w:rPr>
                <w:szCs w:val="20"/>
              </w:rPr>
            </w:pPr>
            <w:r>
              <w:rPr>
                <w:szCs w:val="20"/>
              </w:rPr>
              <w:t xml:space="preserve">97.1 </w:t>
            </w:r>
            <w:r>
              <w:rPr>
                <w:rFonts w:cs="Times New Roman"/>
                <w:szCs w:val="20"/>
              </w:rPr>
              <w:t>± 0.83</w:t>
            </w:r>
          </w:p>
        </w:tc>
      </w:tr>
      <w:tr w:rsidR="006259B1" w:rsidTr="00C90D7C">
        <w:tc>
          <w:tcPr>
            <w:tcW w:w="1728" w:type="dxa"/>
          </w:tcPr>
          <w:p w:rsidR="006259B1" w:rsidRDefault="006259B1" w:rsidP="00C90D7C">
            <w:pPr>
              <w:spacing w:line="480" w:lineRule="auto"/>
              <w:jc w:val="right"/>
              <w:rPr>
                <w:szCs w:val="20"/>
              </w:rPr>
            </w:pPr>
            <w:r>
              <w:rPr>
                <w:szCs w:val="20"/>
              </w:rPr>
              <w:t>1</w:t>
            </w:r>
          </w:p>
        </w:tc>
        <w:tc>
          <w:tcPr>
            <w:tcW w:w="1440" w:type="dxa"/>
          </w:tcPr>
          <w:p w:rsidR="006259B1" w:rsidRDefault="006259B1" w:rsidP="00C90D7C">
            <w:pPr>
              <w:spacing w:line="480" w:lineRule="auto"/>
              <w:jc w:val="center"/>
              <w:rPr>
                <w:szCs w:val="20"/>
              </w:rPr>
            </w:pPr>
            <w:r>
              <w:rPr>
                <w:szCs w:val="20"/>
              </w:rPr>
              <w:t xml:space="preserve">61.0 </w:t>
            </w:r>
            <w:r>
              <w:rPr>
                <w:rFonts w:cs="Times New Roman"/>
                <w:szCs w:val="20"/>
              </w:rPr>
              <w:t>± 1.0</w:t>
            </w:r>
          </w:p>
        </w:tc>
        <w:tc>
          <w:tcPr>
            <w:tcW w:w="1440" w:type="dxa"/>
          </w:tcPr>
          <w:p w:rsidR="006259B1" w:rsidRDefault="006259B1" w:rsidP="00C90D7C">
            <w:pPr>
              <w:spacing w:line="480" w:lineRule="auto"/>
              <w:jc w:val="center"/>
              <w:rPr>
                <w:szCs w:val="20"/>
              </w:rPr>
            </w:pPr>
            <w:r>
              <w:rPr>
                <w:szCs w:val="20"/>
              </w:rPr>
              <w:t xml:space="preserve">91.10 </w:t>
            </w:r>
            <w:r>
              <w:rPr>
                <w:rFonts w:cs="Times New Roman"/>
                <w:szCs w:val="20"/>
              </w:rPr>
              <w:t>± 0.60</w:t>
            </w:r>
          </w:p>
        </w:tc>
        <w:tc>
          <w:tcPr>
            <w:tcW w:w="1800" w:type="dxa"/>
          </w:tcPr>
          <w:p w:rsidR="006259B1" w:rsidRDefault="006259B1" w:rsidP="00C90D7C">
            <w:pPr>
              <w:spacing w:line="480" w:lineRule="auto"/>
              <w:jc w:val="center"/>
              <w:rPr>
                <w:szCs w:val="20"/>
              </w:rPr>
            </w:pPr>
            <w:r>
              <w:rPr>
                <w:szCs w:val="20"/>
              </w:rPr>
              <w:t xml:space="preserve">90.10 </w:t>
            </w:r>
            <w:r>
              <w:rPr>
                <w:rFonts w:cs="Times New Roman"/>
                <w:szCs w:val="20"/>
              </w:rPr>
              <w:t>± 0.98</w:t>
            </w:r>
          </w:p>
        </w:tc>
      </w:tr>
      <w:tr w:rsidR="006259B1" w:rsidTr="00C90D7C">
        <w:tc>
          <w:tcPr>
            <w:tcW w:w="1728" w:type="dxa"/>
          </w:tcPr>
          <w:p w:rsidR="006259B1" w:rsidRDefault="006259B1" w:rsidP="00C90D7C">
            <w:pPr>
              <w:spacing w:line="480" w:lineRule="auto"/>
              <w:jc w:val="right"/>
              <w:rPr>
                <w:szCs w:val="20"/>
              </w:rPr>
            </w:pPr>
            <w:r>
              <w:rPr>
                <w:szCs w:val="20"/>
              </w:rPr>
              <w:t>0.1</w:t>
            </w:r>
          </w:p>
        </w:tc>
        <w:tc>
          <w:tcPr>
            <w:tcW w:w="1440" w:type="dxa"/>
          </w:tcPr>
          <w:p w:rsidR="006259B1" w:rsidRDefault="006259B1" w:rsidP="00C90D7C">
            <w:pPr>
              <w:spacing w:line="480" w:lineRule="auto"/>
              <w:jc w:val="center"/>
              <w:rPr>
                <w:szCs w:val="20"/>
              </w:rPr>
            </w:pPr>
            <w:r>
              <w:rPr>
                <w:szCs w:val="20"/>
              </w:rPr>
              <w:t xml:space="preserve">5.1 </w:t>
            </w:r>
            <w:r>
              <w:rPr>
                <w:rFonts w:cs="Times New Roman"/>
                <w:szCs w:val="20"/>
              </w:rPr>
              <w:t>± 1.30</w:t>
            </w:r>
          </w:p>
        </w:tc>
        <w:tc>
          <w:tcPr>
            <w:tcW w:w="1440" w:type="dxa"/>
          </w:tcPr>
          <w:p w:rsidR="006259B1" w:rsidRDefault="006259B1" w:rsidP="00C90D7C">
            <w:pPr>
              <w:spacing w:line="480" w:lineRule="auto"/>
              <w:jc w:val="center"/>
              <w:rPr>
                <w:szCs w:val="20"/>
              </w:rPr>
            </w:pPr>
            <w:r>
              <w:rPr>
                <w:szCs w:val="20"/>
              </w:rPr>
              <w:t xml:space="preserve">10 </w:t>
            </w:r>
            <w:r>
              <w:rPr>
                <w:rFonts w:cs="Times New Roman"/>
                <w:szCs w:val="20"/>
              </w:rPr>
              <w:t>± 1.4</w:t>
            </w:r>
          </w:p>
        </w:tc>
        <w:tc>
          <w:tcPr>
            <w:tcW w:w="1800" w:type="dxa"/>
          </w:tcPr>
          <w:p w:rsidR="006259B1" w:rsidRDefault="00955AF7" w:rsidP="00C90D7C">
            <w:pPr>
              <w:spacing w:line="480" w:lineRule="auto"/>
              <w:jc w:val="center"/>
              <w:rPr>
                <w:szCs w:val="20"/>
              </w:rPr>
            </w:pPr>
            <w:r>
              <w:rPr>
                <w:szCs w:val="20"/>
              </w:rPr>
              <w:t xml:space="preserve">20.0 </w:t>
            </w:r>
            <w:r>
              <w:rPr>
                <w:rFonts w:cs="Times New Roman"/>
                <w:szCs w:val="20"/>
              </w:rPr>
              <w:t>± 0.75</w:t>
            </w:r>
          </w:p>
        </w:tc>
      </w:tr>
      <w:tr w:rsidR="006259B1" w:rsidTr="00C90D7C">
        <w:tc>
          <w:tcPr>
            <w:tcW w:w="1728" w:type="dxa"/>
          </w:tcPr>
          <w:p w:rsidR="006259B1" w:rsidRDefault="006259B1" w:rsidP="00C90D7C">
            <w:pPr>
              <w:spacing w:line="480" w:lineRule="auto"/>
              <w:jc w:val="right"/>
              <w:rPr>
                <w:szCs w:val="20"/>
              </w:rPr>
            </w:pPr>
            <w:r>
              <w:rPr>
                <w:szCs w:val="20"/>
              </w:rPr>
              <w:t>0.5</w:t>
            </w:r>
          </w:p>
        </w:tc>
        <w:tc>
          <w:tcPr>
            <w:tcW w:w="1440" w:type="dxa"/>
          </w:tcPr>
          <w:p w:rsidR="006259B1" w:rsidRDefault="00955AF7" w:rsidP="00C90D7C">
            <w:pPr>
              <w:spacing w:line="480" w:lineRule="auto"/>
              <w:jc w:val="center"/>
              <w:rPr>
                <w:szCs w:val="20"/>
              </w:rPr>
            </w:pPr>
            <w:r>
              <w:rPr>
                <w:szCs w:val="20"/>
              </w:rPr>
              <w:t>0</w:t>
            </w:r>
          </w:p>
        </w:tc>
        <w:tc>
          <w:tcPr>
            <w:tcW w:w="1440" w:type="dxa"/>
          </w:tcPr>
          <w:p w:rsidR="006259B1" w:rsidRDefault="00955AF7" w:rsidP="00C90D7C">
            <w:pPr>
              <w:spacing w:line="480" w:lineRule="auto"/>
              <w:jc w:val="center"/>
              <w:rPr>
                <w:szCs w:val="20"/>
              </w:rPr>
            </w:pPr>
            <w:r>
              <w:rPr>
                <w:szCs w:val="20"/>
              </w:rPr>
              <w:t xml:space="preserve">10.12 </w:t>
            </w:r>
            <w:r>
              <w:rPr>
                <w:rFonts w:cs="Times New Roman"/>
                <w:szCs w:val="20"/>
              </w:rPr>
              <w:t>± 2.40</w:t>
            </w:r>
          </w:p>
        </w:tc>
        <w:tc>
          <w:tcPr>
            <w:tcW w:w="1800" w:type="dxa"/>
          </w:tcPr>
          <w:p w:rsidR="006259B1" w:rsidRDefault="00955AF7" w:rsidP="00C90D7C">
            <w:pPr>
              <w:spacing w:line="480" w:lineRule="auto"/>
              <w:jc w:val="center"/>
              <w:rPr>
                <w:szCs w:val="20"/>
              </w:rPr>
            </w:pPr>
            <w:r>
              <w:rPr>
                <w:szCs w:val="20"/>
              </w:rPr>
              <w:t xml:space="preserve">19.1 </w:t>
            </w:r>
            <w:r>
              <w:rPr>
                <w:rFonts w:cs="Times New Roman"/>
                <w:szCs w:val="20"/>
              </w:rPr>
              <w:t>± 0.27</w:t>
            </w:r>
          </w:p>
        </w:tc>
      </w:tr>
      <w:tr w:rsidR="006259B1" w:rsidTr="00C90D7C">
        <w:tc>
          <w:tcPr>
            <w:tcW w:w="1728" w:type="dxa"/>
          </w:tcPr>
          <w:p w:rsidR="006259B1" w:rsidRDefault="006259B1" w:rsidP="00C90D7C">
            <w:pPr>
              <w:spacing w:line="480" w:lineRule="auto"/>
              <w:jc w:val="right"/>
              <w:rPr>
                <w:szCs w:val="20"/>
              </w:rPr>
            </w:pPr>
            <w:r>
              <w:rPr>
                <w:szCs w:val="20"/>
              </w:rPr>
              <w:t>LC</w:t>
            </w:r>
            <w:r>
              <w:rPr>
                <w:szCs w:val="20"/>
                <w:vertAlign w:val="subscript"/>
              </w:rPr>
              <w:t>50</w:t>
            </w:r>
          </w:p>
        </w:tc>
        <w:tc>
          <w:tcPr>
            <w:tcW w:w="1440" w:type="dxa"/>
          </w:tcPr>
          <w:p w:rsidR="006259B1" w:rsidRDefault="006259B1" w:rsidP="00C90D7C">
            <w:pPr>
              <w:spacing w:line="480" w:lineRule="auto"/>
              <w:jc w:val="center"/>
              <w:rPr>
                <w:szCs w:val="20"/>
              </w:rPr>
            </w:pPr>
            <w:r>
              <w:rPr>
                <w:szCs w:val="20"/>
              </w:rPr>
              <w:t>1.6</w:t>
            </w:r>
          </w:p>
        </w:tc>
        <w:tc>
          <w:tcPr>
            <w:tcW w:w="1440" w:type="dxa"/>
          </w:tcPr>
          <w:p w:rsidR="006259B1" w:rsidRDefault="006259B1" w:rsidP="00C90D7C">
            <w:pPr>
              <w:spacing w:line="480" w:lineRule="auto"/>
              <w:jc w:val="center"/>
              <w:rPr>
                <w:szCs w:val="20"/>
              </w:rPr>
            </w:pPr>
            <w:r>
              <w:rPr>
                <w:szCs w:val="20"/>
              </w:rPr>
              <w:t>0.84</w:t>
            </w:r>
          </w:p>
        </w:tc>
        <w:tc>
          <w:tcPr>
            <w:tcW w:w="1800" w:type="dxa"/>
          </w:tcPr>
          <w:p w:rsidR="006259B1" w:rsidRDefault="006259B1" w:rsidP="00C90D7C">
            <w:pPr>
              <w:spacing w:line="480" w:lineRule="auto"/>
              <w:jc w:val="center"/>
              <w:rPr>
                <w:szCs w:val="20"/>
              </w:rPr>
            </w:pPr>
            <w:r>
              <w:rPr>
                <w:szCs w:val="20"/>
              </w:rPr>
              <w:t>0.38</w:t>
            </w:r>
          </w:p>
        </w:tc>
      </w:tr>
    </w:tbl>
    <w:p w:rsidR="006259B1" w:rsidRDefault="006259B1" w:rsidP="006259B1">
      <w:pPr>
        <w:spacing w:line="480" w:lineRule="auto"/>
      </w:pPr>
    </w:p>
    <w:p w:rsidR="00760B34" w:rsidRDefault="00760B34" w:rsidP="00EF6BB9">
      <w:pPr>
        <w:spacing w:line="480" w:lineRule="auto"/>
        <w:jc w:val="right"/>
        <w:rPr>
          <w:szCs w:val="20"/>
        </w:rPr>
      </w:pPr>
    </w:p>
    <w:p w:rsidR="00760B34" w:rsidRDefault="00760B34" w:rsidP="00EF6BB9">
      <w:pPr>
        <w:spacing w:line="480" w:lineRule="auto"/>
        <w:jc w:val="right"/>
        <w:rPr>
          <w:szCs w:val="20"/>
        </w:rPr>
      </w:pPr>
    </w:p>
    <w:p w:rsidR="00955AF7" w:rsidRPr="00760B34" w:rsidRDefault="00955AF7" w:rsidP="00760B34">
      <w:pPr>
        <w:jc w:val="right"/>
        <w:rPr>
          <w:rFonts w:asciiTheme="minorBidi" w:hAnsiTheme="minorBidi" w:cstheme="minorBidi"/>
          <w:szCs w:val="20"/>
        </w:rPr>
      </w:pPr>
      <w:r w:rsidRPr="00760B34">
        <w:rPr>
          <w:rFonts w:asciiTheme="minorBidi" w:hAnsiTheme="minorBidi" w:cstheme="minorBidi"/>
          <w:szCs w:val="20"/>
        </w:rPr>
        <w:lastRenderedPageBreak/>
        <w:t>Table (3): Biological activity of  the insect growth regulator dimilin against  4</w:t>
      </w:r>
      <w:r w:rsidRPr="00760B34">
        <w:rPr>
          <w:rFonts w:asciiTheme="minorBidi" w:hAnsiTheme="minorBidi" w:cstheme="minorBidi"/>
          <w:szCs w:val="20"/>
          <w:vertAlign w:val="superscript"/>
        </w:rPr>
        <w:t>th</w:t>
      </w:r>
      <w:r w:rsidRPr="00760B34">
        <w:rPr>
          <w:rFonts w:asciiTheme="minorBidi" w:hAnsiTheme="minorBidi" w:cstheme="minorBidi"/>
          <w:szCs w:val="20"/>
        </w:rPr>
        <w:t xml:space="preserve"> instar of  </w:t>
      </w:r>
      <w:r w:rsidRPr="00760B34">
        <w:rPr>
          <w:rFonts w:asciiTheme="minorBidi" w:hAnsiTheme="minorBidi" w:cstheme="minorBidi"/>
          <w:i/>
          <w:iCs/>
          <w:szCs w:val="20"/>
        </w:rPr>
        <w:t>C. pipiens</w:t>
      </w:r>
      <w:r w:rsidRPr="00760B34">
        <w:rPr>
          <w:rFonts w:asciiTheme="minorBidi" w:hAnsiTheme="minorBidi" w:cstheme="minorBidi"/>
          <w:szCs w:val="20"/>
        </w:rPr>
        <w:t xml:space="preserve"> larvae,  at  different time of exposure ( 24,</w:t>
      </w:r>
      <w:r w:rsidR="00340B02" w:rsidRPr="00760B34">
        <w:rPr>
          <w:rFonts w:asciiTheme="minorBidi" w:hAnsiTheme="minorBidi" w:cstheme="minorBidi"/>
          <w:szCs w:val="20"/>
        </w:rPr>
        <w:t xml:space="preserve"> </w:t>
      </w:r>
      <w:r w:rsidRPr="00760B34">
        <w:rPr>
          <w:rFonts w:asciiTheme="minorBidi" w:hAnsiTheme="minorBidi" w:cstheme="minorBidi"/>
          <w:szCs w:val="20"/>
        </w:rPr>
        <w:t xml:space="preserve">48 &amp; 72 hours).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1440"/>
        <w:gridCol w:w="1440"/>
        <w:gridCol w:w="1800"/>
      </w:tblGrid>
      <w:tr w:rsidR="00955AF7" w:rsidTr="00C90D7C">
        <w:tc>
          <w:tcPr>
            <w:tcW w:w="1728" w:type="dxa"/>
            <w:vMerge w:val="restart"/>
          </w:tcPr>
          <w:p w:rsidR="00955AF7" w:rsidRDefault="00955AF7" w:rsidP="00C90D7C">
            <w:pPr>
              <w:spacing w:line="480" w:lineRule="auto"/>
              <w:jc w:val="right"/>
              <w:rPr>
                <w:szCs w:val="20"/>
              </w:rPr>
            </w:pPr>
            <w:r>
              <w:rPr>
                <w:szCs w:val="20"/>
              </w:rPr>
              <w:t>Concentration</w:t>
            </w:r>
          </w:p>
          <w:p w:rsidR="00955AF7" w:rsidRDefault="00955AF7" w:rsidP="00955AF7">
            <w:pPr>
              <w:spacing w:line="480" w:lineRule="auto"/>
              <w:jc w:val="right"/>
              <w:rPr>
                <w:szCs w:val="20"/>
              </w:rPr>
            </w:pPr>
            <w:r>
              <w:rPr>
                <w:szCs w:val="20"/>
              </w:rPr>
              <w:t>( ppm )</w:t>
            </w:r>
          </w:p>
        </w:tc>
        <w:tc>
          <w:tcPr>
            <w:tcW w:w="4680" w:type="dxa"/>
            <w:gridSpan w:val="3"/>
          </w:tcPr>
          <w:p w:rsidR="00955AF7" w:rsidRDefault="00955AF7" w:rsidP="00C90D7C">
            <w:pPr>
              <w:spacing w:line="480" w:lineRule="auto"/>
              <w:jc w:val="center"/>
              <w:rPr>
                <w:szCs w:val="20"/>
              </w:rPr>
            </w:pPr>
            <w:r>
              <w:rPr>
                <w:szCs w:val="20"/>
              </w:rPr>
              <w:t>Averages of corrected mortality percent</w:t>
            </w:r>
          </w:p>
        </w:tc>
      </w:tr>
      <w:tr w:rsidR="00955AF7" w:rsidTr="00C90D7C">
        <w:tc>
          <w:tcPr>
            <w:tcW w:w="1728" w:type="dxa"/>
            <w:vMerge/>
          </w:tcPr>
          <w:p w:rsidR="00955AF7" w:rsidRDefault="00955AF7" w:rsidP="00C90D7C">
            <w:pPr>
              <w:spacing w:line="480" w:lineRule="auto"/>
              <w:jc w:val="right"/>
              <w:rPr>
                <w:szCs w:val="20"/>
              </w:rPr>
            </w:pPr>
          </w:p>
        </w:tc>
        <w:tc>
          <w:tcPr>
            <w:tcW w:w="1440" w:type="dxa"/>
          </w:tcPr>
          <w:p w:rsidR="00955AF7" w:rsidRPr="00E81618" w:rsidRDefault="00955AF7" w:rsidP="00C90D7C">
            <w:pPr>
              <w:spacing w:line="480" w:lineRule="auto"/>
              <w:jc w:val="center"/>
              <w:rPr>
                <w:szCs w:val="20"/>
              </w:rPr>
            </w:pPr>
            <w:r>
              <w:rPr>
                <w:szCs w:val="20"/>
              </w:rPr>
              <w:t>24h</w:t>
            </w:r>
          </w:p>
        </w:tc>
        <w:tc>
          <w:tcPr>
            <w:tcW w:w="1440" w:type="dxa"/>
          </w:tcPr>
          <w:p w:rsidR="00955AF7" w:rsidRDefault="00955AF7" w:rsidP="00C90D7C">
            <w:pPr>
              <w:spacing w:line="480" w:lineRule="auto"/>
              <w:jc w:val="center"/>
              <w:rPr>
                <w:szCs w:val="20"/>
              </w:rPr>
            </w:pPr>
            <w:r>
              <w:rPr>
                <w:szCs w:val="20"/>
              </w:rPr>
              <w:t>48h</w:t>
            </w:r>
          </w:p>
        </w:tc>
        <w:tc>
          <w:tcPr>
            <w:tcW w:w="1800" w:type="dxa"/>
          </w:tcPr>
          <w:p w:rsidR="00955AF7" w:rsidRDefault="00955AF7" w:rsidP="00C90D7C">
            <w:pPr>
              <w:spacing w:line="480" w:lineRule="auto"/>
              <w:jc w:val="center"/>
              <w:rPr>
                <w:szCs w:val="20"/>
              </w:rPr>
            </w:pPr>
            <w:r>
              <w:rPr>
                <w:szCs w:val="20"/>
              </w:rPr>
              <w:t>72h</w:t>
            </w:r>
          </w:p>
        </w:tc>
      </w:tr>
      <w:tr w:rsidR="00955AF7" w:rsidTr="00C90D7C">
        <w:tc>
          <w:tcPr>
            <w:tcW w:w="1728" w:type="dxa"/>
            <w:vMerge/>
          </w:tcPr>
          <w:p w:rsidR="00955AF7" w:rsidRDefault="00955AF7" w:rsidP="00C90D7C">
            <w:pPr>
              <w:spacing w:line="480" w:lineRule="auto"/>
              <w:jc w:val="right"/>
              <w:rPr>
                <w:szCs w:val="20"/>
              </w:rPr>
            </w:pPr>
          </w:p>
        </w:tc>
        <w:tc>
          <w:tcPr>
            <w:tcW w:w="1440" w:type="dxa"/>
          </w:tcPr>
          <w:p w:rsidR="00955AF7" w:rsidRDefault="00955AF7" w:rsidP="00C90D7C">
            <w:pPr>
              <w:spacing w:line="480" w:lineRule="auto"/>
              <w:jc w:val="center"/>
              <w:rPr>
                <w:szCs w:val="20"/>
              </w:rPr>
            </w:pPr>
            <w:r>
              <w:rPr>
                <w:szCs w:val="20"/>
              </w:rPr>
              <w:t xml:space="preserve">X  </w:t>
            </w:r>
            <w:r>
              <w:rPr>
                <w:rFonts w:cs="Times New Roman"/>
                <w:szCs w:val="20"/>
              </w:rPr>
              <w:t>±</w:t>
            </w:r>
            <w:r>
              <w:rPr>
                <w:szCs w:val="20"/>
              </w:rPr>
              <w:t xml:space="preserve"> SE</w:t>
            </w:r>
          </w:p>
        </w:tc>
        <w:tc>
          <w:tcPr>
            <w:tcW w:w="1440" w:type="dxa"/>
          </w:tcPr>
          <w:p w:rsidR="00955AF7" w:rsidRDefault="00955AF7" w:rsidP="00C90D7C">
            <w:pPr>
              <w:spacing w:line="480" w:lineRule="auto"/>
              <w:jc w:val="center"/>
              <w:rPr>
                <w:szCs w:val="20"/>
              </w:rPr>
            </w:pPr>
            <w:r>
              <w:rPr>
                <w:szCs w:val="20"/>
              </w:rPr>
              <w:t xml:space="preserve">X  </w:t>
            </w:r>
            <w:r>
              <w:rPr>
                <w:rFonts w:cs="Times New Roman"/>
                <w:szCs w:val="20"/>
              </w:rPr>
              <w:t>±</w:t>
            </w:r>
            <w:r>
              <w:rPr>
                <w:szCs w:val="20"/>
              </w:rPr>
              <w:t xml:space="preserve"> SE</w:t>
            </w:r>
          </w:p>
        </w:tc>
        <w:tc>
          <w:tcPr>
            <w:tcW w:w="1800" w:type="dxa"/>
          </w:tcPr>
          <w:p w:rsidR="00955AF7" w:rsidRDefault="00955AF7" w:rsidP="00C90D7C">
            <w:pPr>
              <w:spacing w:line="480" w:lineRule="auto"/>
              <w:jc w:val="center"/>
              <w:rPr>
                <w:szCs w:val="20"/>
              </w:rPr>
            </w:pPr>
            <w:r>
              <w:rPr>
                <w:szCs w:val="20"/>
              </w:rPr>
              <w:t xml:space="preserve">X  </w:t>
            </w:r>
            <w:r>
              <w:rPr>
                <w:rFonts w:cs="Times New Roman"/>
                <w:szCs w:val="20"/>
              </w:rPr>
              <w:t>±</w:t>
            </w:r>
            <w:r>
              <w:rPr>
                <w:szCs w:val="20"/>
              </w:rPr>
              <w:t xml:space="preserve"> SE</w:t>
            </w:r>
          </w:p>
        </w:tc>
      </w:tr>
      <w:tr w:rsidR="00955AF7" w:rsidTr="00C90D7C">
        <w:tc>
          <w:tcPr>
            <w:tcW w:w="1728" w:type="dxa"/>
          </w:tcPr>
          <w:p w:rsidR="00955AF7" w:rsidRDefault="00955AF7" w:rsidP="00C90D7C">
            <w:pPr>
              <w:spacing w:line="480" w:lineRule="auto"/>
              <w:jc w:val="right"/>
              <w:rPr>
                <w:szCs w:val="20"/>
              </w:rPr>
            </w:pPr>
            <w:r>
              <w:rPr>
                <w:szCs w:val="20"/>
              </w:rPr>
              <w:t>20</w:t>
            </w:r>
          </w:p>
        </w:tc>
        <w:tc>
          <w:tcPr>
            <w:tcW w:w="1440" w:type="dxa"/>
          </w:tcPr>
          <w:p w:rsidR="00955AF7" w:rsidRDefault="00955AF7" w:rsidP="00C90D7C">
            <w:pPr>
              <w:spacing w:line="480" w:lineRule="auto"/>
              <w:jc w:val="center"/>
              <w:rPr>
                <w:szCs w:val="20"/>
              </w:rPr>
            </w:pPr>
            <w:r>
              <w:rPr>
                <w:szCs w:val="20"/>
              </w:rPr>
              <w:t xml:space="preserve">90.12 </w:t>
            </w:r>
            <w:r>
              <w:rPr>
                <w:rFonts w:cs="Times New Roman"/>
                <w:szCs w:val="20"/>
              </w:rPr>
              <w:t xml:space="preserve">± </w:t>
            </w:r>
            <w:r>
              <w:rPr>
                <w:szCs w:val="20"/>
              </w:rPr>
              <w:t>1.12</w:t>
            </w:r>
          </w:p>
        </w:tc>
        <w:tc>
          <w:tcPr>
            <w:tcW w:w="1440" w:type="dxa"/>
          </w:tcPr>
          <w:p w:rsidR="00955AF7" w:rsidRDefault="00955AF7" w:rsidP="00C90D7C">
            <w:pPr>
              <w:spacing w:line="480" w:lineRule="auto"/>
              <w:jc w:val="center"/>
              <w:rPr>
                <w:szCs w:val="20"/>
              </w:rPr>
            </w:pPr>
            <w:r>
              <w:rPr>
                <w:szCs w:val="20"/>
              </w:rPr>
              <w:t xml:space="preserve">95.51 </w:t>
            </w:r>
            <w:r>
              <w:rPr>
                <w:rFonts w:cs="Times New Roman"/>
                <w:szCs w:val="20"/>
              </w:rPr>
              <w:t>± 0.25</w:t>
            </w:r>
          </w:p>
        </w:tc>
        <w:tc>
          <w:tcPr>
            <w:tcW w:w="1800" w:type="dxa"/>
          </w:tcPr>
          <w:p w:rsidR="00955AF7" w:rsidRDefault="00955AF7" w:rsidP="00C90D7C">
            <w:pPr>
              <w:spacing w:line="480" w:lineRule="auto"/>
              <w:jc w:val="center"/>
              <w:rPr>
                <w:szCs w:val="20"/>
              </w:rPr>
            </w:pPr>
            <w:r>
              <w:rPr>
                <w:szCs w:val="20"/>
              </w:rPr>
              <w:t xml:space="preserve">98.51 </w:t>
            </w:r>
            <w:r>
              <w:rPr>
                <w:rFonts w:cs="Times New Roman"/>
                <w:szCs w:val="20"/>
              </w:rPr>
              <w:t>±  0.21</w:t>
            </w:r>
          </w:p>
        </w:tc>
      </w:tr>
      <w:tr w:rsidR="00955AF7" w:rsidTr="00C90D7C">
        <w:tc>
          <w:tcPr>
            <w:tcW w:w="1728" w:type="dxa"/>
          </w:tcPr>
          <w:p w:rsidR="00955AF7" w:rsidRDefault="00955AF7" w:rsidP="00C90D7C">
            <w:pPr>
              <w:spacing w:line="480" w:lineRule="auto"/>
              <w:jc w:val="right"/>
              <w:rPr>
                <w:szCs w:val="20"/>
              </w:rPr>
            </w:pPr>
            <w:r>
              <w:rPr>
                <w:szCs w:val="20"/>
              </w:rPr>
              <w:t>10</w:t>
            </w:r>
          </w:p>
        </w:tc>
        <w:tc>
          <w:tcPr>
            <w:tcW w:w="1440" w:type="dxa"/>
          </w:tcPr>
          <w:p w:rsidR="00955AF7" w:rsidRDefault="00955AF7" w:rsidP="00C90D7C">
            <w:pPr>
              <w:spacing w:line="480" w:lineRule="auto"/>
              <w:jc w:val="center"/>
              <w:rPr>
                <w:szCs w:val="20"/>
              </w:rPr>
            </w:pPr>
            <w:r>
              <w:rPr>
                <w:szCs w:val="20"/>
              </w:rPr>
              <w:t xml:space="preserve">58.26 </w:t>
            </w:r>
            <w:r>
              <w:rPr>
                <w:rFonts w:cs="Times New Roman"/>
                <w:szCs w:val="20"/>
              </w:rPr>
              <w:t>± 2.11</w:t>
            </w:r>
          </w:p>
        </w:tc>
        <w:tc>
          <w:tcPr>
            <w:tcW w:w="1440" w:type="dxa"/>
          </w:tcPr>
          <w:p w:rsidR="00955AF7" w:rsidRDefault="00340B02" w:rsidP="00C90D7C">
            <w:pPr>
              <w:spacing w:line="480" w:lineRule="auto"/>
              <w:jc w:val="center"/>
              <w:rPr>
                <w:szCs w:val="20"/>
              </w:rPr>
            </w:pPr>
            <w:r>
              <w:rPr>
                <w:szCs w:val="20"/>
              </w:rPr>
              <w:t xml:space="preserve">70.30 </w:t>
            </w:r>
            <w:r>
              <w:rPr>
                <w:rFonts w:cs="Times New Roman"/>
                <w:szCs w:val="20"/>
              </w:rPr>
              <w:t>± 0.90</w:t>
            </w:r>
          </w:p>
        </w:tc>
        <w:tc>
          <w:tcPr>
            <w:tcW w:w="1800" w:type="dxa"/>
          </w:tcPr>
          <w:p w:rsidR="00955AF7" w:rsidRDefault="00955AF7" w:rsidP="00C90D7C">
            <w:pPr>
              <w:spacing w:line="480" w:lineRule="auto"/>
              <w:jc w:val="center"/>
              <w:rPr>
                <w:szCs w:val="20"/>
              </w:rPr>
            </w:pPr>
            <w:r>
              <w:rPr>
                <w:szCs w:val="20"/>
              </w:rPr>
              <w:t xml:space="preserve">86.9 </w:t>
            </w:r>
            <w:r>
              <w:rPr>
                <w:rFonts w:cs="Times New Roman"/>
                <w:szCs w:val="20"/>
              </w:rPr>
              <w:t>± 0.40</w:t>
            </w:r>
          </w:p>
        </w:tc>
      </w:tr>
      <w:tr w:rsidR="00955AF7" w:rsidTr="00C90D7C">
        <w:tc>
          <w:tcPr>
            <w:tcW w:w="1728" w:type="dxa"/>
          </w:tcPr>
          <w:p w:rsidR="00955AF7" w:rsidRDefault="00955AF7" w:rsidP="00C90D7C">
            <w:pPr>
              <w:spacing w:line="480" w:lineRule="auto"/>
              <w:jc w:val="right"/>
              <w:rPr>
                <w:szCs w:val="20"/>
              </w:rPr>
            </w:pPr>
            <w:r>
              <w:rPr>
                <w:szCs w:val="20"/>
              </w:rPr>
              <w:t>7</w:t>
            </w:r>
          </w:p>
        </w:tc>
        <w:tc>
          <w:tcPr>
            <w:tcW w:w="1440" w:type="dxa"/>
          </w:tcPr>
          <w:p w:rsidR="00955AF7" w:rsidRDefault="00340B02" w:rsidP="00C90D7C">
            <w:pPr>
              <w:spacing w:line="480" w:lineRule="auto"/>
              <w:jc w:val="center"/>
              <w:rPr>
                <w:szCs w:val="20"/>
              </w:rPr>
            </w:pPr>
            <w:r>
              <w:rPr>
                <w:szCs w:val="20"/>
              </w:rPr>
              <w:t>23</w:t>
            </w:r>
            <w:r w:rsidR="00955AF7">
              <w:rPr>
                <w:szCs w:val="20"/>
              </w:rPr>
              <w:t xml:space="preserve">.11 </w:t>
            </w:r>
            <w:r w:rsidR="00955AF7">
              <w:rPr>
                <w:rFonts w:cs="Times New Roman"/>
                <w:szCs w:val="20"/>
              </w:rPr>
              <w:t>± 0.78</w:t>
            </w:r>
          </w:p>
        </w:tc>
        <w:tc>
          <w:tcPr>
            <w:tcW w:w="1440" w:type="dxa"/>
          </w:tcPr>
          <w:p w:rsidR="00955AF7" w:rsidRDefault="00340B02" w:rsidP="00C90D7C">
            <w:pPr>
              <w:spacing w:line="480" w:lineRule="auto"/>
              <w:jc w:val="center"/>
              <w:rPr>
                <w:szCs w:val="20"/>
              </w:rPr>
            </w:pPr>
            <w:r>
              <w:rPr>
                <w:szCs w:val="20"/>
              </w:rPr>
              <w:t xml:space="preserve">49.11 </w:t>
            </w:r>
            <w:r>
              <w:rPr>
                <w:rFonts w:cs="Times New Roman"/>
                <w:szCs w:val="20"/>
              </w:rPr>
              <w:t>± 0.25</w:t>
            </w:r>
          </w:p>
        </w:tc>
        <w:tc>
          <w:tcPr>
            <w:tcW w:w="1800" w:type="dxa"/>
          </w:tcPr>
          <w:p w:rsidR="00955AF7" w:rsidRDefault="00955AF7" w:rsidP="00C90D7C">
            <w:pPr>
              <w:spacing w:line="480" w:lineRule="auto"/>
              <w:jc w:val="center"/>
              <w:rPr>
                <w:szCs w:val="20"/>
              </w:rPr>
            </w:pPr>
            <w:r>
              <w:rPr>
                <w:szCs w:val="20"/>
              </w:rPr>
              <w:t xml:space="preserve">66.23 </w:t>
            </w:r>
            <w:r>
              <w:rPr>
                <w:rFonts w:cs="Times New Roman"/>
                <w:szCs w:val="20"/>
              </w:rPr>
              <w:t>± 0.67</w:t>
            </w:r>
          </w:p>
        </w:tc>
      </w:tr>
      <w:tr w:rsidR="00955AF7" w:rsidTr="00C90D7C">
        <w:tc>
          <w:tcPr>
            <w:tcW w:w="1728" w:type="dxa"/>
          </w:tcPr>
          <w:p w:rsidR="00955AF7" w:rsidRDefault="00955AF7" w:rsidP="00C90D7C">
            <w:pPr>
              <w:spacing w:line="480" w:lineRule="auto"/>
              <w:jc w:val="right"/>
              <w:rPr>
                <w:szCs w:val="20"/>
              </w:rPr>
            </w:pPr>
            <w:r>
              <w:rPr>
                <w:szCs w:val="20"/>
              </w:rPr>
              <w:t>5</w:t>
            </w:r>
          </w:p>
        </w:tc>
        <w:tc>
          <w:tcPr>
            <w:tcW w:w="1440" w:type="dxa"/>
          </w:tcPr>
          <w:p w:rsidR="00955AF7" w:rsidRDefault="00340B02" w:rsidP="00C90D7C">
            <w:pPr>
              <w:spacing w:line="480" w:lineRule="auto"/>
              <w:jc w:val="center"/>
              <w:rPr>
                <w:szCs w:val="20"/>
              </w:rPr>
            </w:pPr>
            <w:r>
              <w:rPr>
                <w:szCs w:val="20"/>
              </w:rPr>
              <w:t>1</w:t>
            </w:r>
            <w:r w:rsidR="00955AF7">
              <w:rPr>
                <w:szCs w:val="20"/>
              </w:rPr>
              <w:t xml:space="preserve">5.34 </w:t>
            </w:r>
            <w:r w:rsidR="00955AF7">
              <w:rPr>
                <w:rFonts w:cs="Times New Roman"/>
                <w:szCs w:val="20"/>
              </w:rPr>
              <w:t>± 0.74</w:t>
            </w:r>
          </w:p>
        </w:tc>
        <w:tc>
          <w:tcPr>
            <w:tcW w:w="1440" w:type="dxa"/>
          </w:tcPr>
          <w:p w:rsidR="00955AF7" w:rsidRDefault="00340B02" w:rsidP="00C90D7C">
            <w:pPr>
              <w:spacing w:line="480" w:lineRule="auto"/>
              <w:jc w:val="center"/>
              <w:rPr>
                <w:szCs w:val="20"/>
              </w:rPr>
            </w:pPr>
            <w:r>
              <w:rPr>
                <w:szCs w:val="20"/>
              </w:rPr>
              <w:t xml:space="preserve">10.2 </w:t>
            </w:r>
            <w:r>
              <w:rPr>
                <w:rFonts w:cs="Times New Roman"/>
                <w:szCs w:val="20"/>
              </w:rPr>
              <w:t>± 0.64</w:t>
            </w:r>
          </w:p>
        </w:tc>
        <w:tc>
          <w:tcPr>
            <w:tcW w:w="1800" w:type="dxa"/>
          </w:tcPr>
          <w:p w:rsidR="00955AF7" w:rsidRDefault="00340B02" w:rsidP="00C90D7C">
            <w:pPr>
              <w:spacing w:line="480" w:lineRule="auto"/>
              <w:jc w:val="center"/>
              <w:rPr>
                <w:szCs w:val="20"/>
              </w:rPr>
            </w:pPr>
            <w:r>
              <w:rPr>
                <w:szCs w:val="20"/>
              </w:rPr>
              <w:t xml:space="preserve">46.1 </w:t>
            </w:r>
            <w:r>
              <w:rPr>
                <w:rFonts w:cs="Times New Roman"/>
                <w:szCs w:val="20"/>
              </w:rPr>
              <w:t>± 0.73</w:t>
            </w:r>
          </w:p>
        </w:tc>
      </w:tr>
      <w:tr w:rsidR="00955AF7" w:rsidTr="00C90D7C">
        <w:tc>
          <w:tcPr>
            <w:tcW w:w="1728" w:type="dxa"/>
          </w:tcPr>
          <w:p w:rsidR="00955AF7" w:rsidRDefault="00955AF7" w:rsidP="00C90D7C">
            <w:pPr>
              <w:spacing w:line="480" w:lineRule="auto"/>
              <w:jc w:val="right"/>
              <w:rPr>
                <w:szCs w:val="20"/>
              </w:rPr>
            </w:pPr>
            <w:r>
              <w:rPr>
                <w:szCs w:val="20"/>
              </w:rPr>
              <w:t>2.5</w:t>
            </w:r>
          </w:p>
        </w:tc>
        <w:tc>
          <w:tcPr>
            <w:tcW w:w="1440" w:type="dxa"/>
          </w:tcPr>
          <w:p w:rsidR="00955AF7" w:rsidRDefault="00955AF7" w:rsidP="00C90D7C">
            <w:pPr>
              <w:spacing w:line="480" w:lineRule="auto"/>
              <w:jc w:val="center"/>
              <w:rPr>
                <w:szCs w:val="20"/>
              </w:rPr>
            </w:pPr>
            <w:r>
              <w:rPr>
                <w:szCs w:val="20"/>
              </w:rPr>
              <w:t>0</w:t>
            </w:r>
            <w:r w:rsidR="00340B02">
              <w:rPr>
                <w:szCs w:val="20"/>
              </w:rPr>
              <w:t xml:space="preserve">.0 </w:t>
            </w:r>
            <w:r w:rsidR="00340B02">
              <w:rPr>
                <w:rFonts w:cs="Times New Roman"/>
                <w:szCs w:val="20"/>
              </w:rPr>
              <w:t>± 0.0</w:t>
            </w:r>
          </w:p>
        </w:tc>
        <w:tc>
          <w:tcPr>
            <w:tcW w:w="1440" w:type="dxa"/>
          </w:tcPr>
          <w:p w:rsidR="00955AF7" w:rsidRDefault="00340B02" w:rsidP="00C90D7C">
            <w:pPr>
              <w:spacing w:line="480" w:lineRule="auto"/>
              <w:jc w:val="center"/>
              <w:rPr>
                <w:szCs w:val="20"/>
              </w:rPr>
            </w:pPr>
            <w:r>
              <w:rPr>
                <w:szCs w:val="20"/>
              </w:rPr>
              <w:t xml:space="preserve">8.10 </w:t>
            </w:r>
            <w:r>
              <w:rPr>
                <w:rFonts w:cs="Times New Roman"/>
                <w:szCs w:val="20"/>
              </w:rPr>
              <w:t>± 0.32</w:t>
            </w:r>
          </w:p>
        </w:tc>
        <w:tc>
          <w:tcPr>
            <w:tcW w:w="1800" w:type="dxa"/>
          </w:tcPr>
          <w:p w:rsidR="00955AF7" w:rsidRDefault="00340B02" w:rsidP="00C90D7C">
            <w:pPr>
              <w:spacing w:line="480" w:lineRule="auto"/>
              <w:jc w:val="center"/>
              <w:rPr>
                <w:szCs w:val="20"/>
              </w:rPr>
            </w:pPr>
            <w:r>
              <w:rPr>
                <w:szCs w:val="20"/>
              </w:rPr>
              <w:t xml:space="preserve">21.10 </w:t>
            </w:r>
            <w:r>
              <w:rPr>
                <w:rFonts w:cs="Times New Roman"/>
                <w:szCs w:val="20"/>
              </w:rPr>
              <w:t>± 0.076</w:t>
            </w:r>
          </w:p>
        </w:tc>
      </w:tr>
      <w:tr w:rsidR="00955AF7" w:rsidTr="00C90D7C">
        <w:tc>
          <w:tcPr>
            <w:tcW w:w="1728" w:type="dxa"/>
          </w:tcPr>
          <w:p w:rsidR="00955AF7" w:rsidRDefault="00955AF7" w:rsidP="00C90D7C">
            <w:pPr>
              <w:spacing w:line="480" w:lineRule="auto"/>
              <w:jc w:val="right"/>
              <w:rPr>
                <w:szCs w:val="20"/>
              </w:rPr>
            </w:pPr>
            <w:r>
              <w:rPr>
                <w:szCs w:val="20"/>
              </w:rPr>
              <w:t>LC</w:t>
            </w:r>
            <w:r>
              <w:rPr>
                <w:szCs w:val="20"/>
                <w:vertAlign w:val="subscript"/>
              </w:rPr>
              <w:t>50</w:t>
            </w:r>
          </w:p>
        </w:tc>
        <w:tc>
          <w:tcPr>
            <w:tcW w:w="1440" w:type="dxa"/>
          </w:tcPr>
          <w:p w:rsidR="00955AF7" w:rsidRDefault="00340B02" w:rsidP="00C90D7C">
            <w:pPr>
              <w:spacing w:line="480" w:lineRule="auto"/>
              <w:jc w:val="center"/>
              <w:rPr>
                <w:szCs w:val="20"/>
              </w:rPr>
            </w:pPr>
            <w:r>
              <w:rPr>
                <w:szCs w:val="20"/>
              </w:rPr>
              <w:t>9.5</w:t>
            </w:r>
          </w:p>
        </w:tc>
        <w:tc>
          <w:tcPr>
            <w:tcW w:w="1440" w:type="dxa"/>
          </w:tcPr>
          <w:p w:rsidR="00955AF7" w:rsidRDefault="00340B02" w:rsidP="00C90D7C">
            <w:pPr>
              <w:spacing w:line="480" w:lineRule="auto"/>
              <w:jc w:val="center"/>
              <w:rPr>
                <w:szCs w:val="20"/>
              </w:rPr>
            </w:pPr>
            <w:r>
              <w:rPr>
                <w:szCs w:val="20"/>
              </w:rPr>
              <w:t>7.5</w:t>
            </w:r>
          </w:p>
        </w:tc>
        <w:tc>
          <w:tcPr>
            <w:tcW w:w="1800" w:type="dxa"/>
          </w:tcPr>
          <w:p w:rsidR="00955AF7" w:rsidRDefault="00340B02" w:rsidP="00C90D7C">
            <w:pPr>
              <w:spacing w:line="480" w:lineRule="auto"/>
              <w:jc w:val="center"/>
              <w:rPr>
                <w:szCs w:val="20"/>
              </w:rPr>
            </w:pPr>
            <w:r>
              <w:rPr>
                <w:szCs w:val="20"/>
              </w:rPr>
              <w:t>4.8</w:t>
            </w:r>
          </w:p>
        </w:tc>
      </w:tr>
    </w:tbl>
    <w:p w:rsidR="00340B02" w:rsidRPr="00760B34" w:rsidRDefault="00340B02" w:rsidP="00760B34">
      <w:pPr>
        <w:jc w:val="right"/>
        <w:rPr>
          <w:rFonts w:asciiTheme="minorBidi" w:hAnsiTheme="minorBidi" w:cstheme="minorBidi"/>
          <w:szCs w:val="20"/>
        </w:rPr>
      </w:pPr>
      <w:r w:rsidRPr="00760B34">
        <w:rPr>
          <w:rFonts w:asciiTheme="minorBidi" w:hAnsiTheme="minorBidi" w:cstheme="minorBidi"/>
          <w:szCs w:val="20"/>
        </w:rPr>
        <w:t>Table (4): Biological activity of  the insect growth regulator dimilin against the  2</w:t>
      </w:r>
      <w:r w:rsidRPr="00760B34">
        <w:rPr>
          <w:rFonts w:asciiTheme="minorBidi" w:hAnsiTheme="minorBidi" w:cstheme="minorBidi"/>
          <w:szCs w:val="20"/>
          <w:vertAlign w:val="superscript"/>
        </w:rPr>
        <w:t>nd</w:t>
      </w:r>
      <w:r w:rsidRPr="00760B34">
        <w:rPr>
          <w:rFonts w:asciiTheme="minorBidi" w:hAnsiTheme="minorBidi" w:cstheme="minorBidi"/>
          <w:szCs w:val="20"/>
        </w:rPr>
        <w:t xml:space="preserve">  instar of  </w:t>
      </w:r>
      <w:r w:rsidRPr="00760B34">
        <w:rPr>
          <w:rFonts w:asciiTheme="minorBidi" w:hAnsiTheme="minorBidi" w:cstheme="minorBidi"/>
          <w:i/>
          <w:iCs/>
          <w:szCs w:val="20"/>
        </w:rPr>
        <w:t>C. pipiens</w:t>
      </w:r>
      <w:r w:rsidRPr="00760B34">
        <w:rPr>
          <w:rFonts w:asciiTheme="minorBidi" w:hAnsiTheme="minorBidi" w:cstheme="minorBidi"/>
          <w:szCs w:val="20"/>
        </w:rPr>
        <w:t xml:space="preserve"> larvae,  at  different time of exposure ( 24, 48 &amp; 72 hours).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1440"/>
        <w:gridCol w:w="1440"/>
        <w:gridCol w:w="1800"/>
      </w:tblGrid>
      <w:tr w:rsidR="00340B02" w:rsidTr="00C90D7C">
        <w:tc>
          <w:tcPr>
            <w:tcW w:w="1728" w:type="dxa"/>
            <w:vMerge w:val="restart"/>
          </w:tcPr>
          <w:p w:rsidR="00340B02" w:rsidRDefault="00340B02" w:rsidP="00C90D7C">
            <w:pPr>
              <w:spacing w:line="480" w:lineRule="auto"/>
              <w:jc w:val="right"/>
              <w:rPr>
                <w:szCs w:val="20"/>
              </w:rPr>
            </w:pPr>
            <w:r>
              <w:rPr>
                <w:szCs w:val="20"/>
              </w:rPr>
              <w:t>Concentration</w:t>
            </w:r>
          </w:p>
          <w:p w:rsidR="00340B02" w:rsidRDefault="00340B02" w:rsidP="00C90D7C">
            <w:pPr>
              <w:spacing w:line="480" w:lineRule="auto"/>
              <w:jc w:val="right"/>
              <w:rPr>
                <w:szCs w:val="20"/>
              </w:rPr>
            </w:pPr>
            <w:r>
              <w:rPr>
                <w:szCs w:val="20"/>
              </w:rPr>
              <w:t>( ppm )</w:t>
            </w:r>
          </w:p>
        </w:tc>
        <w:tc>
          <w:tcPr>
            <w:tcW w:w="4680" w:type="dxa"/>
            <w:gridSpan w:val="3"/>
          </w:tcPr>
          <w:p w:rsidR="00340B02" w:rsidRDefault="00340B02" w:rsidP="00C90D7C">
            <w:pPr>
              <w:spacing w:line="480" w:lineRule="auto"/>
              <w:jc w:val="center"/>
              <w:rPr>
                <w:szCs w:val="20"/>
              </w:rPr>
            </w:pPr>
            <w:r>
              <w:rPr>
                <w:szCs w:val="20"/>
              </w:rPr>
              <w:t>Averages of corrected mortality percent</w:t>
            </w:r>
          </w:p>
        </w:tc>
      </w:tr>
      <w:tr w:rsidR="00340B02" w:rsidTr="00C90D7C">
        <w:tc>
          <w:tcPr>
            <w:tcW w:w="1728" w:type="dxa"/>
            <w:vMerge/>
          </w:tcPr>
          <w:p w:rsidR="00340B02" w:rsidRDefault="00340B02" w:rsidP="00C90D7C">
            <w:pPr>
              <w:spacing w:line="480" w:lineRule="auto"/>
              <w:jc w:val="right"/>
              <w:rPr>
                <w:szCs w:val="20"/>
              </w:rPr>
            </w:pPr>
          </w:p>
        </w:tc>
        <w:tc>
          <w:tcPr>
            <w:tcW w:w="1440" w:type="dxa"/>
          </w:tcPr>
          <w:p w:rsidR="00340B02" w:rsidRPr="00E81618" w:rsidRDefault="00340B02" w:rsidP="00C90D7C">
            <w:pPr>
              <w:spacing w:line="480" w:lineRule="auto"/>
              <w:jc w:val="center"/>
              <w:rPr>
                <w:szCs w:val="20"/>
              </w:rPr>
            </w:pPr>
            <w:r>
              <w:rPr>
                <w:szCs w:val="20"/>
              </w:rPr>
              <w:t>24h</w:t>
            </w:r>
          </w:p>
        </w:tc>
        <w:tc>
          <w:tcPr>
            <w:tcW w:w="1440" w:type="dxa"/>
          </w:tcPr>
          <w:p w:rsidR="00340B02" w:rsidRDefault="00340B02" w:rsidP="00C90D7C">
            <w:pPr>
              <w:spacing w:line="480" w:lineRule="auto"/>
              <w:jc w:val="center"/>
              <w:rPr>
                <w:szCs w:val="20"/>
              </w:rPr>
            </w:pPr>
            <w:r>
              <w:rPr>
                <w:szCs w:val="20"/>
              </w:rPr>
              <w:t>48h</w:t>
            </w:r>
          </w:p>
        </w:tc>
        <w:tc>
          <w:tcPr>
            <w:tcW w:w="1800" w:type="dxa"/>
          </w:tcPr>
          <w:p w:rsidR="00340B02" w:rsidRDefault="00340B02" w:rsidP="00C90D7C">
            <w:pPr>
              <w:spacing w:line="480" w:lineRule="auto"/>
              <w:jc w:val="center"/>
              <w:rPr>
                <w:szCs w:val="20"/>
              </w:rPr>
            </w:pPr>
            <w:r>
              <w:rPr>
                <w:szCs w:val="20"/>
              </w:rPr>
              <w:t>72h</w:t>
            </w:r>
          </w:p>
        </w:tc>
      </w:tr>
      <w:tr w:rsidR="00340B02" w:rsidTr="00C90D7C">
        <w:tc>
          <w:tcPr>
            <w:tcW w:w="1728" w:type="dxa"/>
            <w:vMerge/>
          </w:tcPr>
          <w:p w:rsidR="00340B02" w:rsidRDefault="00340B02" w:rsidP="00C90D7C">
            <w:pPr>
              <w:spacing w:line="480" w:lineRule="auto"/>
              <w:jc w:val="right"/>
              <w:rPr>
                <w:szCs w:val="20"/>
              </w:rPr>
            </w:pPr>
          </w:p>
        </w:tc>
        <w:tc>
          <w:tcPr>
            <w:tcW w:w="1440" w:type="dxa"/>
          </w:tcPr>
          <w:p w:rsidR="00340B02" w:rsidRDefault="00340B02" w:rsidP="00C90D7C">
            <w:pPr>
              <w:spacing w:line="480" w:lineRule="auto"/>
              <w:jc w:val="center"/>
              <w:rPr>
                <w:szCs w:val="20"/>
              </w:rPr>
            </w:pPr>
            <w:r>
              <w:rPr>
                <w:szCs w:val="20"/>
              </w:rPr>
              <w:t xml:space="preserve">X  </w:t>
            </w:r>
            <w:r>
              <w:rPr>
                <w:rFonts w:cs="Times New Roman"/>
                <w:szCs w:val="20"/>
              </w:rPr>
              <w:t>±</w:t>
            </w:r>
            <w:r>
              <w:rPr>
                <w:szCs w:val="20"/>
              </w:rPr>
              <w:t xml:space="preserve"> SE</w:t>
            </w:r>
          </w:p>
        </w:tc>
        <w:tc>
          <w:tcPr>
            <w:tcW w:w="1440" w:type="dxa"/>
          </w:tcPr>
          <w:p w:rsidR="00340B02" w:rsidRDefault="00340B02" w:rsidP="00C90D7C">
            <w:pPr>
              <w:spacing w:line="480" w:lineRule="auto"/>
              <w:jc w:val="center"/>
              <w:rPr>
                <w:szCs w:val="20"/>
              </w:rPr>
            </w:pPr>
            <w:r>
              <w:rPr>
                <w:szCs w:val="20"/>
              </w:rPr>
              <w:t xml:space="preserve">X  </w:t>
            </w:r>
            <w:r>
              <w:rPr>
                <w:rFonts w:cs="Times New Roman"/>
                <w:szCs w:val="20"/>
              </w:rPr>
              <w:t>±</w:t>
            </w:r>
            <w:r>
              <w:rPr>
                <w:szCs w:val="20"/>
              </w:rPr>
              <w:t xml:space="preserve"> SE</w:t>
            </w:r>
          </w:p>
        </w:tc>
        <w:tc>
          <w:tcPr>
            <w:tcW w:w="1800" w:type="dxa"/>
          </w:tcPr>
          <w:p w:rsidR="00340B02" w:rsidRDefault="00340B02" w:rsidP="00C90D7C">
            <w:pPr>
              <w:spacing w:line="480" w:lineRule="auto"/>
              <w:jc w:val="center"/>
              <w:rPr>
                <w:szCs w:val="20"/>
              </w:rPr>
            </w:pPr>
            <w:r>
              <w:rPr>
                <w:szCs w:val="20"/>
              </w:rPr>
              <w:t xml:space="preserve">X  </w:t>
            </w:r>
            <w:r>
              <w:rPr>
                <w:rFonts w:cs="Times New Roman"/>
                <w:szCs w:val="20"/>
              </w:rPr>
              <w:t>±</w:t>
            </w:r>
            <w:r>
              <w:rPr>
                <w:szCs w:val="20"/>
              </w:rPr>
              <w:t xml:space="preserve"> SE</w:t>
            </w:r>
          </w:p>
        </w:tc>
      </w:tr>
      <w:tr w:rsidR="00340B02" w:rsidTr="00C90D7C">
        <w:tc>
          <w:tcPr>
            <w:tcW w:w="1728" w:type="dxa"/>
          </w:tcPr>
          <w:p w:rsidR="00340B02" w:rsidRDefault="00340B02" w:rsidP="00C90D7C">
            <w:pPr>
              <w:spacing w:line="480" w:lineRule="auto"/>
              <w:jc w:val="right"/>
              <w:rPr>
                <w:szCs w:val="20"/>
              </w:rPr>
            </w:pPr>
            <w:r>
              <w:rPr>
                <w:szCs w:val="20"/>
              </w:rPr>
              <w:t>20</w:t>
            </w:r>
          </w:p>
        </w:tc>
        <w:tc>
          <w:tcPr>
            <w:tcW w:w="1440" w:type="dxa"/>
          </w:tcPr>
          <w:p w:rsidR="00340B02" w:rsidRDefault="004D4EB9" w:rsidP="00340B02">
            <w:pPr>
              <w:spacing w:line="480" w:lineRule="auto"/>
              <w:jc w:val="center"/>
              <w:rPr>
                <w:szCs w:val="20"/>
              </w:rPr>
            </w:pPr>
            <w:r>
              <w:rPr>
                <w:szCs w:val="20"/>
              </w:rPr>
              <w:t>100</w:t>
            </w:r>
          </w:p>
        </w:tc>
        <w:tc>
          <w:tcPr>
            <w:tcW w:w="1440" w:type="dxa"/>
          </w:tcPr>
          <w:p w:rsidR="00340B02" w:rsidRDefault="00340B02" w:rsidP="00C90D7C">
            <w:pPr>
              <w:spacing w:line="480" w:lineRule="auto"/>
              <w:jc w:val="center"/>
              <w:rPr>
                <w:szCs w:val="20"/>
              </w:rPr>
            </w:pPr>
          </w:p>
        </w:tc>
        <w:tc>
          <w:tcPr>
            <w:tcW w:w="1800" w:type="dxa"/>
          </w:tcPr>
          <w:p w:rsidR="00340B02" w:rsidRDefault="00340B02" w:rsidP="00C90D7C">
            <w:pPr>
              <w:spacing w:line="480" w:lineRule="auto"/>
              <w:jc w:val="center"/>
              <w:rPr>
                <w:szCs w:val="20"/>
              </w:rPr>
            </w:pPr>
          </w:p>
        </w:tc>
      </w:tr>
      <w:tr w:rsidR="004D4EB9" w:rsidTr="00C90D7C">
        <w:tc>
          <w:tcPr>
            <w:tcW w:w="1728" w:type="dxa"/>
          </w:tcPr>
          <w:p w:rsidR="004D4EB9" w:rsidRDefault="004D4EB9" w:rsidP="00C90D7C">
            <w:pPr>
              <w:spacing w:line="480" w:lineRule="auto"/>
              <w:jc w:val="right"/>
              <w:rPr>
                <w:szCs w:val="20"/>
              </w:rPr>
            </w:pPr>
            <w:r>
              <w:rPr>
                <w:szCs w:val="20"/>
              </w:rPr>
              <w:t>10</w:t>
            </w:r>
          </w:p>
        </w:tc>
        <w:tc>
          <w:tcPr>
            <w:tcW w:w="1440" w:type="dxa"/>
          </w:tcPr>
          <w:p w:rsidR="004D4EB9" w:rsidRDefault="004D4EB9" w:rsidP="00C90D7C">
            <w:pPr>
              <w:spacing w:line="480" w:lineRule="auto"/>
              <w:jc w:val="center"/>
              <w:rPr>
                <w:szCs w:val="20"/>
              </w:rPr>
            </w:pPr>
            <w:r>
              <w:rPr>
                <w:szCs w:val="20"/>
              </w:rPr>
              <w:t xml:space="preserve">95.12 </w:t>
            </w:r>
            <w:r>
              <w:rPr>
                <w:rFonts w:cs="Times New Roman"/>
                <w:szCs w:val="20"/>
              </w:rPr>
              <w:t>± 0.</w:t>
            </w:r>
            <w:r>
              <w:rPr>
                <w:szCs w:val="20"/>
              </w:rPr>
              <w:t>13</w:t>
            </w:r>
          </w:p>
        </w:tc>
        <w:tc>
          <w:tcPr>
            <w:tcW w:w="1440" w:type="dxa"/>
          </w:tcPr>
          <w:p w:rsidR="004D4EB9" w:rsidRDefault="00BE6307" w:rsidP="00BE6307">
            <w:pPr>
              <w:spacing w:line="480" w:lineRule="auto"/>
              <w:jc w:val="center"/>
              <w:rPr>
                <w:szCs w:val="20"/>
              </w:rPr>
            </w:pPr>
            <w:r>
              <w:rPr>
                <w:szCs w:val="20"/>
              </w:rPr>
              <w:t>98</w:t>
            </w:r>
            <w:r w:rsidR="004D4EB9">
              <w:rPr>
                <w:szCs w:val="20"/>
              </w:rPr>
              <w:t>.</w:t>
            </w:r>
            <w:r>
              <w:rPr>
                <w:szCs w:val="20"/>
              </w:rPr>
              <w:t>1</w:t>
            </w:r>
            <w:r w:rsidR="004D4EB9">
              <w:rPr>
                <w:szCs w:val="20"/>
              </w:rPr>
              <w:t xml:space="preserve">0 </w:t>
            </w:r>
            <w:r w:rsidR="004D4EB9">
              <w:rPr>
                <w:rFonts w:cs="Times New Roman"/>
                <w:szCs w:val="20"/>
              </w:rPr>
              <w:t>± 0.</w:t>
            </w:r>
            <w:r>
              <w:rPr>
                <w:rFonts w:cs="Times New Roman"/>
                <w:szCs w:val="20"/>
              </w:rPr>
              <w:t>6</w:t>
            </w:r>
            <w:r w:rsidR="004D4EB9">
              <w:rPr>
                <w:rFonts w:cs="Times New Roman"/>
                <w:szCs w:val="20"/>
              </w:rPr>
              <w:t>0</w:t>
            </w:r>
          </w:p>
        </w:tc>
        <w:tc>
          <w:tcPr>
            <w:tcW w:w="1800" w:type="dxa"/>
          </w:tcPr>
          <w:p w:rsidR="004D4EB9" w:rsidRDefault="00304888" w:rsidP="00BE6307">
            <w:pPr>
              <w:spacing w:line="480" w:lineRule="auto"/>
              <w:jc w:val="center"/>
              <w:rPr>
                <w:szCs w:val="20"/>
              </w:rPr>
            </w:pPr>
            <w:r>
              <w:rPr>
                <w:szCs w:val="20"/>
              </w:rPr>
              <w:t>100</w:t>
            </w:r>
          </w:p>
        </w:tc>
      </w:tr>
      <w:tr w:rsidR="00304888" w:rsidTr="00C90D7C">
        <w:tc>
          <w:tcPr>
            <w:tcW w:w="1728" w:type="dxa"/>
          </w:tcPr>
          <w:p w:rsidR="00304888" w:rsidRDefault="00304888" w:rsidP="00C90D7C">
            <w:pPr>
              <w:spacing w:line="480" w:lineRule="auto"/>
              <w:jc w:val="right"/>
              <w:rPr>
                <w:szCs w:val="20"/>
              </w:rPr>
            </w:pPr>
            <w:r>
              <w:rPr>
                <w:szCs w:val="20"/>
              </w:rPr>
              <w:t>7</w:t>
            </w:r>
          </w:p>
        </w:tc>
        <w:tc>
          <w:tcPr>
            <w:tcW w:w="1440" w:type="dxa"/>
          </w:tcPr>
          <w:p w:rsidR="00304888" w:rsidRDefault="00304888" w:rsidP="00C90D7C">
            <w:pPr>
              <w:spacing w:line="480" w:lineRule="auto"/>
              <w:jc w:val="center"/>
              <w:rPr>
                <w:szCs w:val="20"/>
              </w:rPr>
            </w:pPr>
            <w:r>
              <w:rPr>
                <w:szCs w:val="20"/>
              </w:rPr>
              <w:t xml:space="preserve">89.31 </w:t>
            </w:r>
            <w:r>
              <w:rPr>
                <w:rFonts w:cs="Times New Roman"/>
                <w:szCs w:val="20"/>
              </w:rPr>
              <w:t>±0.40</w:t>
            </w:r>
          </w:p>
        </w:tc>
        <w:tc>
          <w:tcPr>
            <w:tcW w:w="1440" w:type="dxa"/>
          </w:tcPr>
          <w:p w:rsidR="00304888" w:rsidRDefault="00304888" w:rsidP="00BE6307">
            <w:pPr>
              <w:spacing w:line="480" w:lineRule="auto"/>
              <w:jc w:val="center"/>
              <w:rPr>
                <w:szCs w:val="20"/>
              </w:rPr>
            </w:pPr>
            <w:r>
              <w:rPr>
                <w:szCs w:val="20"/>
              </w:rPr>
              <w:t xml:space="preserve">96.1 </w:t>
            </w:r>
            <w:r>
              <w:rPr>
                <w:rFonts w:cs="Times New Roman"/>
                <w:szCs w:val="20"/>
              </w:rPr>
              <w:t>± 0.51</w:t>
            </w:r>
          </w:p>
        </w:tc>
        <w:tc>
          <w:tcPr>
            <w:tcW w:w="1800" w:type="dxa"/>
          </w:tcPr>
          <w:p w:rsidR="00304888" w:rsidRDefault="00304888" w:rsidP="00CF512D">
            <w:pPr>
              <w:spacing w:line="480" w:lineRule="auto"/>
              <w:jc w:val="center"/>
              <w:rPr>
                <w:szCs w:val="20"/>
              </w:rPr>
            </w:pPr>
            <w:r>
              <w:rPr>
                <w:szCs w:val="20"/>
              </w:rPr>
              <w:t xml:space="preserve">97.8 </w:t>
            </w:r>
            <w:r>
              <w:rPr>
                <w:rFonts w:cs="Times New Roman"/>
                <w:szCs w:val="20"/>
              </w:rPr>
              <w:t>±0.7</w:t>
            </w:r>
          </w:p>
        </w:tc>
      </w:tr>
      <w:tr w:rsidR="00304888" w:rsidTr="00C90D7C">
        <w:tc>
          <w:tcPr>
            <w:tcW w:w="1728" w:type="dxa"/>
          </w:tcPr>
          <w:p w:rsidR="00304888" w:rsidRDefault="00304888" w:rsidP="00C90D7C">
            <w:pPr>
              <w:spacing w:line="480" w:lineRule="auto"/>
              <w:jc w:val="right"/>
              <w:rPr>
                <w:szCs w:val="20"/>
              </w:rPr>
            </w:pPr>
            <w:r>
              <w:rPr>
                <w:szCs w:val="20"/>
              </w:rPr>
              <w:t>5</w:t>
            </w:r>
          </w:p>
        </w:tc>
        <w:tc>
          <w:tcPr>
            <w:tcW w:w="1440" w:type="dxa"/>
          </w:tcPr>
          <w:p w:rsidR="00304888" w:rsidRDefault="00304888" w:rsidP="00C90D7C">
            <w:pPr>
              <w:spacing w:line="480" w:lineRule="auto"/>
              <w:jc w:val="center"/>
              <w:rPr>
                <w:szCs w:val="20"/>
              </w:rPr>
            </w:pPr>
            <w:r>
              <w:rPr>
                <w:szCs w:val="20"/>
              </w:rPr>
              <w:t xml:space="preserve">82.5 </w:t>
            </w:r>
            <w:r>
              <w:rPr>
                <w:rFonts w:cs="Times New Roman"/>
                <w:szCs w:val="20"/>
              </w:rPr>
              <w:t>± 0.44</w:t>
            </w:r>
          </w:p>
        </w:tc>
        <w:tc>
          <w:tcPr>
            <w:tcW w:w="1440" w:type="dxa"/>
          </w:tcPr>
          <w:p w:rsidR="00304888" w:rsidRDefault="00304888" w:rsidP="00BE6307">
            <w:pPr>
              <w:spacing w:line="480" w:lineRule="auto"/>
              <w:jc w:val="center"/>
              <w:rPr>
                <w:szCs w:val="20"/>
              </w:rPr>
            </w:pPr>
            <w:r>
              <w:rPr>
                <w:szCs w:val="20"/>
              </w:rPr>
              <w:t xml:space="preserve">93.1 </w:t>
            </w:r>
            <w:r>
              <w:rPr>
                <w:rFonts w:cs="Times New Roman"/>
                <w:szCs w:val="20"/>
              </w:rPr>
              <w:t>± 0.54</w:t>
            </w:r>
          </w:p>
        </w:tc>
        <w:tc>
          <w:tcPr>
            <w:tcW w:w="1800" w:type="dxa"/>
          </w:tcPr>
          <w:p w:rsidR="00304888" w:rsidRDefault="00304888" w:rsidP="00304888">
            <w:pPr>
              <w:spacing w:line="480" w:lineRule="auto"/>
              <w:jc w:val="center"/>
              <w:rPr>
                <w:szCs w:val="20"/>
              </w:rPr>
            </w:pPr>
            <w:r>
              <w:rPr>
                <w:szCs w:val="20"/>
              </w:rPr>
              <w:t xml:space="preserve">97. 1 </w:t>
            </w:r>
            <w:r>
              <w:rPr>
                <w:rFonts w:cs="Times New Roman"/>
                <w:szCs w:val="20"/>
              </w:rPr>
              <w:t>± 0.83</w:t>
            </w:r>
          </w:p>
        </w:tc>
      </w:tr>
      <w:tr w:rsidR="00304888" w:rsidTr="00C90D7C">
        <w:tc>
          <w:tcPr>
            <w:tcW w:w="1728" w:type="dxa"/>
          </w:tcPr>
          <w:p w:rsidR="00304888" w:rsidRDefault="00304888" w:rsidP="00C90D7C">
            <w:pPr>
              <w:spacing w:line="480" w:lineRule="auto"/>
              <w:jc w:val="right"/>
              <w:rPr>
                <w:szCs w:val="20"/>
              </w:rPr>
            </w:pPr>
            <w:r>
              <w:rPr>
                <w:szCs w:val="20"/>
              </w:rPr>
              <w:t>2.5</w:t>
            </w:r>
          </w:p>
        </w:tc>
        <w:tc>
          <w:tcPr>
            <w:tcW w:w="1440" w:type="dxa"/>
          </w:tcPr>
          <w:p w:rsidR="00304888" w:rsidRDefault="00304888" w:rsidP="004D4EB9">
            <w:pPr>
              <w:spacing w:line="480" w:lineRule="auto"/>
              <w:jc w:val="center"/>
              <w:rPr>
                <w:szCs w:val="20"/>
              </w:rPr>
            </w:pPr>
            <w:r>
              <w:rPr>
                <w:szCs w:val="20"/>
              </w:rPr>
              <w:t xml:space="preserve">61.0 </w:t>
            </w:r>
            <w:r>
              <w:rPr>
                <w:rFonts w:cs="Times New Roman"/>
                <w:szCs w:val="20"/>
              </w:rPr>
              <w:t>± 1.0</w:t>
            </w:r>
          </w:p>
        </w:tc>
        <w:tc>
          <w:tcPr>
            <w:tcW w:w="1440" w:type="dxa"/>
          </w:tcPr>
          <w:p w:rsidR="00304888" w:rsidRDefault="00304888" w:rsidP="00BE6307">
            <w:pPr>
              <w:spacing w:line="480" w:lineRule="auto"/>
              <w:jc w:val="center"/>
              <w:rPr>
                <w:szCs w:val="20"/>
              </w:rPr>
            </w:pPr>
            <w:r>
              <w:rPr>
                <w:szCs w:val="20"/>
              </w:rPr>
              <w:t xml:space="preserve">81.10 </w:t>
            </w:r>
            <w:r>
              <w:rPr>
                <w:rFonts w:cs="Times New Roman"/>
                <w:szCs w:val="20"/>
              </w:rPr>
              <w:t>± 0.60</w:t>
            </w:r>
          </w:p>
        </w:tc>
        <w:tc>
          <w:tcPr>
            <w:tcW w:w="1800" w:type="dxa"/>
          </w:tcPr>
          <w:p w:rsidR="00304888" w:rsidRDefault="00304888" w:rsidP="00CF512D">
            <w:pPr>
              <w:spacing w:line="480" w:lineRule="auto"/>
              <w:jc w:val="center"/>
              <w:rPr>
                <w:szCs w:val="20"/>
              </w:rPr>
            </w:pPr>
            <w:r>
              <w:rPr>
                <w:szCs w:val="20"/>
              </w:rPr>
              <w:t xml:space="preserve">90.10 </w:t>
            </w:r>
            <w:r>
              <w:rPr>
                <w:rFonts w:cs="Times New Roman"/>
                <w:szCs w:val="20"/>
              </w:rPr>
              <w:t>± 0.98</w:t>
            </w:r>
          </w:p>
        </w:tc>
      </w:tr>
      <w:tr w:rsidR="00304888" w:rsidTr="00C90D7C">
        <w:tc>
          <w:tcPr>
            <w:tcW w:w="1728" w:type="dxa"/>
          </w:tcPr>
          <w:p w:rsidR="00304888" w:rsidRDefault="00304888" w:rsidP="00C90D7C">
            <w:pPr>
              <w:spacing w:line="480" w:lineRule="auto"/>
              <w:jc w:val="right"/>
              <w:rPr>
                <w:szCs w:val="20"/>
              </w:rPr>
            </w:pPr>
            <w:r>
              <w:rPr>
                <w:szCs w:val="20"/>
              </w:rPr>
              <w:t>1</w:t>
            </w:r>
          </w:p>
        </w:tc>
        <w:tc>
          <w:tcPr>
            <w:tcW w:w="1440" w:type="dxa"/>
          </w:tcPr>
          <w:p w:rsidR="00304888" w:rsidRDefault="00304888" w:rsidP="004D4EB9">
            <w:pPr>
              <w:spacing w:line="480" w:lineRule="auto"/>
              <w:jc w:val="center"/>
              <w:rPr>
                <w:szCs w:val="20"/>
              </w:rPr>
            </w:pPr>
            <w:r>
              <w:rPr>
                <w:szCs w:val="20"/>
              </w:rPr>
              <w:t xml:space="preserve">35.1 </w:t>
            </w:r>
            <w:r>
              <w:rPr>
                <w:rFonts w:cs="Times New Roman"/>
                <w:szCs w:val="20"/>
              </w:rPr>
              <w:t>± 1.30</w:t>
            </w:r>
          </w:p>
        </w:tc>
        <w:tc>
          <w:tcPr>
            <w:tcW w:w="1440" w:type="dxa"/>
          </w:tcPr>
          <w:p w:rsidR="00304888" w:rsidRDefault="00304888" w:rsidP="00C90D7C">
            <w:pPr>
              <w:spacing w:line="480" w:lineRule="auto"/>
              <w:jc w:val="center"/>
              <w:rPr>
                <w:szCs w:val="20"/>
              </w:rPr>
            </w:pPr>
            <w:r>
              <w:rPr>
                <w:szCs w:val="20"/>
              </w:rPr>
              <w:t>51.19</w:t>
            </w:r>
            <w:r>
              <w:rPr>
                <w:rFonts w:cs="Times New Roman"/>
                <w:szCs w:val="20"/>
              </w:rPr>
              <w:t>±</w:t>
            </w:r>
            <w:r>
              <w:rPr>
                <w:szCs w:val="20"/>
              </w:rPr>
              <w:t xml:space="preserve"> 1.40</w:t>
            </w:r>
          </w:p>
        </w:tc>
        <w:tc>
          <w:tcPr>
            <w:tcW w:w="1800" w:type="dxa"/>
          </w:tcPr>
          <w:p w:rsidR="00304888" w:rsidRDefault="00304888" w:rsidP="00CF512D">
            <w:pPr>
              <w:spacing w:line="480" w:lineRule="auto"/>
              <w:jc w:val="center"/>
              <w:rPr>
                <w:szCs w:val="20"/>
              </w:rPr>
            </w:pPr>
            <w:r>
              <w:rPr>
                <w:szCs w:val="20"/>
              </w:rPr>
              <w:t xml:space="preserve">79.0 </w:t>
            </w:r>
            <w:r>
              <w:rPr>
                <w:rFonts w:cs="Times New Roman"/>
                <w:szCs w:val="20"/>
              </w:rPr>
              <w:t>± 0.75</w:t>
            </w:r>
          </w:p>
        </w:tc>
      </w:tr>
      <w:tr w:rsidR="00304888" w:rsidTr="00C90D7C">
        <w:tc>
          <w:tcPr>
            <w:tcW w:w="1728" w:type="dxa"/>
          </w:tcPr>
          <w:p w:rsidR="00304888" w:rsidRDefault="00304888" w:rsidP="00C90D7C">
            <w:pPr>
              <w:spacing w:line="480" w:lineRule="auto"/>
              <w:jc w:val="right"/>
              <w:rPr>
                <w:szCs w:val="20"/>
              </w:rPr>
            </w:pPr>
            <w:r>
              <w:rPr>
                <w:szCs w:val="20"/>
              </w:rPr>
              <w:t>0.1</w:t>
            </w:r>
          </w:p>
        </w:tc>
        <w:tc>
          <w:tcPr>
            <w:tcW w:w="1440" w:type="dxa"/>
          </w:tcPr>
          <w:p w:rsidR="00304888" w:rsidRDefault="00304888" w:rsidP="00C90D7C">
            <w:pPr>
              <w:spacing w:line="480" w:lineRule="auto"/>
              <w:jc w:val="center"/>
              <w:rPr>
                <w:szCs w:val="20"/>
              </w:rPr>
            </w:pPr>
            <w:r>
              <w:rPr>
                <w:szCs w:val="20"/>
              </w:rPr>
              <w:t>0</w:t>
            </w:r>
          </w:p>
        </w:tc>
        <w:tc>
          <w:tcPr>
            <w:tcW w:w="1440" w:type="dxa"/>
          </w:tcPr>
          <w:p w:rsidR="00304888" w:rsidRDefault="00304888" w:rsidP="00C90D7C">
            <w:pPr>
              <w:spacing w:line="480" w:lineRule="auto"/>
              <w:jc w:val="center"/>
              <w:rPr>
                <w:szCs w:val="20"/>
              </w:rPr>
            </w:pPr>
            <w:r>
              <w:rPr>
                <w:szCs w:val="20"/>
              </w:rPr>
              <w:t>10.12</w:t>
            </w:r>
            <w:r>
              <w:rPr>
                <w:rFonts w:cs="Times New Roman"/>
                <w:szCs w:val="20"/>
              </w:rPr>
              <w:t>±</w:t>
            </w:r>
            <w:r>
              <w:rPr>
                <w:szCs w:val="20"/>
              </w:rPr>
              <w:t xml:space="preserve"> 2.40</w:t>
            </w:r>
          </w:p>
        </w:tc>
        <w:tc>
          <w:tcPr>
            <w:tcW w:w="1800" w:type="dxa"/>
          </w:tcPr>
          <w:p w:rsidR="00304888" w:rsidRDefault="00304888" w:rsidP="00CF512D">
            <w:pPr>
              <w:spacing w:line="480" w:lineRule="auto"/>
              <w:jc w:val="center"/>
              <w:rPr>
                <w:szCs w:val="20"/>
              </w:rPr>
            </w:pPr>
            <w:r>
              <w:rPr>
                <w:szCs w:val="20"/>
              </w:rPr>
              <w:t>19. 1</w:t>
            </w:r>
            <w:r>
              <w:rPr>
                <w:rFonts w:cs="Times New Roman"/>
                <w:szCs w:val="20"/>
              </w:rPr>
              <w:t>±</w:t>
            </w:r>
            <w:r>
              <w:rPr>
                <w:szCs w:val="20"/>
              </w:rPr>
              <w:t xml:space="preserve"> 0.27</w:t>
            </w:r>
          </w:p>
        </w:tc>
      </w:tr>
      <w:tr w:rsidR="00340B02" w:rsidTr="00C90D7C">
        <w:tc>
          <w:tcPr>
            <w:tcW w:w="1728" w:type="dxa"/>
          </w:tcPr>
          <w:p w:rsidR="00340B02" w:rsidRDefault="00340B02" w:rsidP="00C90D7C">
            <w:pPr>
              <w:spacing w:line="480" w:lineRule="auto"/>
              <w:jc w:val="right"/>
              <w:rPr>
                <w:szCs w:val="20"/>
              </w:rPr>
            </w:pPr>
            <w:r>
              <w:rPr>
                <w:szCs w:val="20"/>
              </w:rPr>
              <w:t>LC</w:t>
            </w:r>
            <w:r>
              <w:rPr>
                <w:szCs w:val="20"/>
                <w:vertAlign w:val="subscript"/>
              </w:rPr>
              <w:t>50</w:t>
            </w:r>
          </w:p>
        </w:tc>
        <w:tc>
          <w:tcPr>
            <w:tcW w:w="1440" w:type="dxa"/>
          </w:tcPr>
          <w:p w:rsidR="00340B02" w:rsidRDefault="004D4EB9" w:rsidP="00C90D7C">
            <w:pPr>
              <w:spacing w:line="480" w:lineRule="auto"/>
              <w:jc w:val="center"/>
              <w:rPr>
                <w:szCs w:val="20"/>
              </w:rPr>
            </w:pPr>
            <w:r>
              <w:rPr>
                <w:szCs w:val="20"/>
              </w:rPr>
              <w:t>1</w:t>
            </w:r>
            <w:r w:rsidR="00340B02">
              <w:rPr>
                <w:szCs w:val="20"/>
              </w:rPr>
              <w:t>.5</w:t>
            </w:r>
          </w:p>
        </w:tc>
        <w:tc>
          <w:tcPr>
            <w:tcW w:w="1440" w:type="dxa"/>
          </w:tcPr>
          <w:p w:rsidR="00340B02" w:rsidRDefault="00BE6307" w:rsidP="00C90D7C">
            <w:pPr>
              <w:spacing w:line="480" w:lineRule="auto"/>
              <w:jc w:val="center"/>
              <w:rPr>
                <w:szCs w:val="20"/>
              </w:rPr>
            </w:pPr>
            <w:r>
              <w:rPr>
                <w:szCs w:val="20"/>
              </w:rPr>
              <w:t>0.8</w:t>
            </w:r>
          </w:p>
        </w:tc>
        <w:tc>
          <w:tcPr>
            <w:tcW w:w="1800" w:type="dxa"/>
          </w:tcPr>
          <w:p w:rsidR="00340B02" w:rsidRDefault="00BE6307" w:rsidP="00C90D7C">
            <w:pPr>
              <w:spacing w:line="480" w:lineRule="auto"/>
              <w:jc w:val="center"/>
              <w:rPr>
                <w:szCs w:val="20"/>
              </w:rPr>
            </w:pPr>
            <w:r>
              <w:rPr>
                <w:szCs w:val="20"/>
              </w:rPr>
              <w:t>0.18</w:t>
            </w:r>
          </w:p>
        </w:tc>
      </w:tr>
    </w:tbl>
    <w:p w:rsidR="00ED5069" w:rsidRDefault="00ED5069" w:rsidP="006259B1">
      <w:pPr>
        <w:jc w:val="right"/>
      </w:pPr>
    </w:p>
    <w:p w:rsidR="00760B34" w:rsidRDefault="00760B34" w:rsidP="00760B34">
      <w:pPr>
        <w:jc w:val="right"/>
        <w:rPr>
          <w:rFonts w:asciiTheme="minorBidi" w:hAnsiTheme="minorBidi" w:cstheme="minorBidi"/>
          <w:b/>
          <w:bCs/>
          <w:sz w:val="24"/>
        </w:rPr>
      </w:pPr>
    </w:p>
    <w:p w:rsidR="00760B34" w:rsidRDefault="00760B34" w:rsidP="00760B34">
      <w:pPr>
        <w:jc w:val="right"/>
        <w:rPr>
          <w:rFonts w:asciiTheme="minorBidi" w:hAnsiTheme="minorBidi" w:cstheme="minorBidi"/>
          <w:b/>
          <w:bCs/>
          <w:sz w:val="24"/>
        </w:rPr>
      </w:pPr>
    </w:p>
    <w:p w:rsidR="00760B34" w:rsidRDefault="00760B34" w:rsidP="00760B34">
      <w:pPr>
        <w:jc w:val="right"/>
        <w:rPr>
          <w:rFonts w:asciiTheme="minorBidi" w:hAnsiTheme="minorBidi" w:cstheme="minorBidi"/>
          <w:b/>
          <w:bCs/>
          <w:sz w:val="24"/>
        </w:rPr>
      </w:pPr>
    </w:p>
    <w:p w:rsidR="00760B34" w:rsidRDefault="00760B34" w:rsidP="00760B34">
      <w:pPr>
        <w:jc w:val="right"/>
        <w:rPr>
          <w:rFonts w:asciiTheme="minorBidi" w:hAnsiTheme="minorBidi" w:cstheme="minorBidi"/>
          <w:b/>
          <w:bCs/>
          <w:sz w:val="24"/>
        </w:rPr>
      </w:pPr>
    </w:p>
    <w:p w:rsidR="00760B34" w:rsidRDefault="00760B34" w:rsidP="00760B34">
      <w:pPr>
        <w:jc w:val="right"/>
        <w:rPr>
          <w:rFonts w:asciiTheme="minorBidi" w:hAnsiTheme="minorBidi" w:cstheme="minorBidi"/>
          <w:b/>
          <w:bCs/>
          <w:sz w:val="24"/>
        </w:rPr>
      </w:pPr>
    </w:p>
    <w:p w:rsidR="00760B34" w:rsidRDefault="00760B34" w:rsidP="00760B34">
      <w:pPr>
        <w:jc w:val="right"/>
        <w:rPr>
          <w:rFonts w:asciiTheme="minorBidi" w:hAnsiTheme="minorBidi" w:cstheme="minorBidi"/>
          <w:b/>
          <w:bCs/>
          <w:sz w:val="24"/>
        </w:rPr>
      </w:pPr>
    </w:p>
    <w:p w:rsidR="00760B34" w:rsidRDefault="00760B34" w:rsidP="00760B34">
      <w:pPr>
        <w:jc w:val="right"/>
        <w:rPr>
          <w:rFonts w:asciiTheme="minorBidi" w:hAnsiTheme="minorBidi" w:cstheme="minorBidi"/>
          <w:b/>
          <w:bCs/>
          <w:sz w:val="24"/>
        </w:rPr>
      </w:pPr>
    </w:p>
    <w:p w:rsidR="00760B34" w:rsidRDefault="00760B34" w:rsidP="00760B34">
      <w:pPr>
        <w:jc w:val="right"/>
        <w:rPr>
          <w:rFonts w:asciiTheme="minorBidi" w:hAnsiTheme="minorBidi" w:cstheme="minorBidi"/>
          <w:b/>
          <w:bCs/>
          <w:sz w:val="24"/>
        </w:rPr>
      </w:pPr>
    </w:p>
    <w:p w:rsidR="00424E0B" w:rsidRPr="00760B34" w:rsidRDefault="00424E0B" w:rsidP="00760B34">
      <w:pPr>
        <w:jc w:val="right"/>
        <w:rPr>
          <w:rFonts w:asciiTheme="minorBidi" w:hAnsiTheme="minorBidi" w:cstheme="minorBidi"/>
          <w:b/>
          <w:bCs/>
          <w:sz w:val="24"/>
        </w:rPr>
      </w:pPr>
      <w:r w:rsidRPr="00760B34">
        <w:rPr>
          <w:rFonts w:asciiTheme="minorBidi" w:hAnsiTheme="minorBidi" w:cstheme="minorBidi"/>
          <w:b/>
          <w:bCs/>
          <w:sz w:val="24"/>
        </w:rPr>
        <w:lastRenderedPageBreak/>
        <w:t xml:space="preserve">The joint action of hematoporphyrin and dimilin against  </w:t>
      </w:r>
      <w:r w:rsidRPr="00760B34">
        <w:rPr>
          <w:rFonts w:asciiTheme="minorBidi" w:hAnsiTheme="minorBidi" w:cstheme="minorBidi"/>
          <w:b/>
          <w:bCs/>
          <w:i/>
          <w:iCs/>
          <w:sz w:val="24"/>
        </w:rPr>
        <w:t>C. pipiens</w:t>
      </w:r>
      <w:r w:rsidRPr="00760B34">
        <w:rPr>
          <w:rFonts w:asciiTheme="minorBidi" w:hAnsiTheme="minorBidi" w:cstheme="minorBidi"/>
          <w:b/>
          <w:bCs/>
          <w:sz w:val="24"/>
        </w:rPr>
        <w:t xml:space="preserve"> larvae. </w:t>
      </w:r>
    </w:p>
    <w:p w:rsidR="00424E0B" w:rsidRPr="00760B34" w:rsidRDefault="00424E0B" w:rsidP="00760B34">
      <w:pPr>
        <w:jc w:val="right"/>
        <w:rPr>
          <w:rFonts w:asciiTheme="minorBidi" w:hAnsiTheme="minorBidi" w:cstheme="minorBidi"/>
          <w:szCs w:val="20"/>
        </w:rPr>
      </w:pPr>
      <w:r w:rsidRPr="00760B34">
        <w:rPr>
          <w:rFonts w:asciiTheme="minorBidi" w:hAnsiTheme="minorBidi" w:cstheme="minorBidi"/>
          <w:szCs w:val="20"/>
        </w:rPr>
        <w:t>Table (5):</w:t>
      </w:r>
      <w:r w:rsidR="00646C82" w:rsidRPr="00760B34">
        <w:rPr>
          <w:rFonts w:asciiTheme="minorBidi" w:hAnsiTheme="minorBidi" w:cstheme="minorBidi"/>
          <w:szCs w:val="20"/>
        </w:rPr>
        <w:t xml:space="preserve"> The combined effect of  hematoporphyrin ( H) and dimilin ( D) against </w:t>
      </w:r>
      <w:r w:rsidR="00646C82" w:rsidRPr="00760B34">
        <w:rPr>
          <w:rFonts w:asciiTheme="minorBidi" w:hAnsiTheme="minorBidi" w:cstheme="minorBidi"/>
          <w:i/>
          <w:iCs/>
          <w:szCs w:val="20"/>
        </w:rPr>
        <w:t>C. pipiens</w:t>
      </w:r>
      <w:r w:rsidR="00646C82" w:rsidRPr="00760B34">
        <w:rPr>
          <w:rFonts w:asciiTheme="minorBidi" w:hAnsiTheme="minorBidi" w:cstheme="minorBidi"/>
          <w:szCs w:val="20"/>
        </w:rPr>
        <w:t xml:space="preserve"> larvae when used simultaneously in mixture for different time of exposure. </w:t>
      </w:r>
    </w:p>
    <w:tbl>
      <w:tblPr>
        <w:tblStyle w:val="TableGrid"/>
        <w:bidiVisual/>
        <w:tblW w:w="0" w:type="auto"/>
        <w:jc w:val="center"/>
        <w:tblLook w:val="04A0"/>
      </w:tblPr>
      <w:tblGrid>
        <w:gridCol w:w="1476"/>
        <w:gridCol w:w="1476"/>
        <w:gridCol w:w="1476"/>
        <w:gridCol w:w="1343"/>
        <w:gridCol w:w="1609"/>
        <w:gridCol w:w="1476"/>
      </w:tblGrid>
      <w:tr w:rsidR="00ED78B5" w:rsidTr="0062476C">
        <w:trPr>
          <w:jc w:val="center"/>
        </w:trPr>
        <w:tc>
          <w:tcPr>
            <w:tcW w:w="1476" w:type="dxa"/>
            <w:vMerge w:val="restart"/>
            <w:vAlign w:val="center"/>
          </w:tcPr>
          <w:p w:rsidR="00ED78B5" w:rsidRDefault="0062476C" w:rsidP="00ED78B5">
            <w:pPr>
              <w:jc w:val="center"/>
            </w:pPr>
            <w:r>
              <w:t>Co toxicity</w:t>
            </w:r>
          </w:p>
          <w:p w:rsidR="0062476C" w:rsidRDefault="0062476C" w:rsidP="00ED78B5">
            <w:pPr>
              <w:jc w:val="center"/>
              <w:rPr>
                <w:rtl/>
              </w:rPr>
            </w:pPr>
            <w:r>
              <w:t>factor</w:t>
            </w:r>
          </w:p>
        </w:tc>
        <w:tc>
          <w:tcPr>
            <w:tcW w:w="2952" w:type="dxa"/>
            <w:gridSpan w:val="2"/>
            <w:vAlign w:val="center"/>
          </w:tcPr>
          <w:p w:rsidR="00ED78B5" w:rsidRDefault="0062476C" w:rsidP="00ED78B5">
            <w:pPr>
              <w:jc w:val="center"/>
              <w:rPr>
                <w:rtl/>
              </w:rPr>
            </w:pPr>
            <w:r>
              <w:t>Averages of mortality %</w:t>
            </w:r>
          </w:p>
        </w:tc>
        <w:tc>
          <w:tcPr>
            <w:tcW w:w="1343" w:type="dxa"/>
            <w:vMerge w:val="restart"/>
            <w:vAlign w:val="center"/>
          </w:tcPr>
          <w:p w:rsidR="00ED78B5" w:rsidRDefault="0062476C" w:rsidP="00ED78B5">
            <w:pPr>
              <w:jc w:val="center"/>
            </w:pPr>
            <w:r>
              <w:t>Exposure</w:t>
            </w:r>
          </w:p>
          <w:p w:rsidR="0062476C" w:rsidRDefault="0062476C" w:rsidP="00ED78B5">
            <w:pPr>
              <w:jc w:val="center"/>
            </w:pPr>
            <w:r>
              <w:t>Time</w:t>
            </w:r>
          </w:p>
          <w:p w:rsidR="0062476C" w:rsidRDefault="0062476C" w:rsidP="00ED78B5">
            <w:pPr>
              <w:jc w:val="center"/>
              <w:rPr>
                <w:rtl/>
              </w:rPr>
            </w:pPr>
            <w:r>
              <w:t>(hour)</w:t>
            </w:r>
          </w:p>
        </w:tc>
        <w:tc>
          <w:tcPr>
            <w:tcW w:w="1609" w:type="dxa"/>
            <w:vAlign w:val="center"/>
          </w:tcPr>
          <w:p w:rsidR="00ED78B5" w:rsidRDefault="00ED78B5" w:rsidP="00ED78B5">
            <w:pPr>
              <w:jc w:val="center"/>
            </w:pPr>
            <w:r>
              <w:t>Concentrations</w:t>
            </w:r>
          </w:p>
          <w:p w:rsidR="00ED78B5" w:rsidRPr="00ED78B5" w:rsidRDefault="00ED78B5" w:rsidP="00ED78B5">
            <w:pPr>
              <w:jc w:val="center"/>
              <w:rPr>
                <w:vertAlign w:val="subscript"/>
                <w:rtl/>
              </w:rPr>
            </w:pPr>
            <w:r>
              <w:t>Used at LC</w:t>
            </w:r>
            <w:r>
              <w:rPr>
                <w:vertAlign w:val="subscript"/>
              </w:rPr>
              <w:t>25</w:t>
            </w:r>
          </w:p>
        </w:tc>
        <w:tc>
          <w:tcPr>
            <w:tcW w:w="1476" w:type="dxa"/>
            <w:vMerge w:val="restart"/>
            <w:vAlign w:val="center"/>
          </w:tcPr>
          <w:p w:rsidR="00ED78B5" w:rsidRDefault="00ED78B5" w:rsidP="00ED78B5">
            <w:pPr>
              <w:jc w:val="center"/>
            </w:pPr>
            <w:r>
              <w:t>Larval</w:t>
            </w:r>
          </w:p>
          <w:p w:rsidR="00ED78B5" w:rsidRDefault="00760B34" w:rsidP="00ED78B5">
            <w:pPr>
              <w:jc w:val="center"/>
              <w:rPr>
                <w:rtl/>
              </w:rPr>
            </w:pPr>
            <w:r>
              <w:t>I</w:t>
            </w:r>
            <w:r w:rsidR="00ED78B5">
              <w:t>nstar</w:t>
            </w:r>
          </w:p>
        </w:tc>
      </w:tr>
      <w:tr w:rsidR="00ED78B5" w:rsidTr="0062476C">
        <w:trPr>
          <w:jc w:val="center"/>
        </w:trPr>
        <w:tc>
          <w:tcPr>
            <w:tcW w:w="1476" w:type="dxa"/>
            <w:vMerge/>
            <w:vAlign w:val="center"/>
          </w:tcPr>
          <w:p w:rsidR="00ED78B5" w:rsidRDefault="00ED78B5" w:rsidP="00ED78B5">
            <w:pPr>
              <w:jc w:val="center"/>
              <w:rPr>
                <w:rtl/>
              </w:rPr>
            </w:pPr>
          </w:p>
        </w:tc>
        <w:tc>
          <w:tcPr>
            <w:tcW w:w="1476" w:type="dxa"/>
            <w:vAlign w:val="center"/>
          </w:tcPr>
          <w:p w:rsidR="00ED78B5" w:rsidRDefault="0062476C" w:rsidP="00ED78B5">
            <w:pPr>
              <w:jc w:val="center"/>
              <w:rPr>
                <w:rtl/>
              </w:rPr>
            </w:pPr>
            <w:r>
              <w:t>Observed</w:t>
            </w:r>
          </w:p>
        </w:tc>
        <w:tc>
          <w:tcPr>
            <w:tcW w:w="1476" w:type="dxa"/>
            <w:vAlign w:val="center"/>
          </w:tcPr>
          <w:p w:rsidR="00ED78B5" w:rsidRDefault="0062476C" w:rsidP="00ED78B5">
            <w:pPr>
              <w:jc w:val="center"/>
              <w:rPr>
                <w:rtl/>
              </w:rPr>
            </w:pPr>
            <w:r>
              <w:t>Expected</w:t>
            </w:r>
          </w:p>
        </w:tc>
        <w:tc>
          <w:tcPr>
            <w:tcW w:w="1343" w:type="dxa"/>
            <w:vMerge/>
            <w:vAlign w:val="center"/>
          </w:tcPr>
          <w:p w:rsidR="00ED78B5" w:rsidRDefault="00ED78B5" w:rsidP="00ED78B5">
            <w:pPr>
              <w:jc w:val="center"/>
              <w:rPr>
                <w:rtl/>
              </w:rPr>
            </w:pPr>
          </w:p>
        </w:tc>
        <w:tc>
          <w:tcPr>
            <w:tcW w:w="1609" w:type="dxa"/>
            <w:vAlign w:val="center"/>
          </w:tcPr>
          <w:p w:rsidR="00ED78B5" w:rsidRDefault="00ED78B5" w:rsidP="00ED78B5">
            <w:pPr>
              <w:jc w:val="center"/>
            </w:pPr>
            <w:r>
              <w:t xml:space="preserve">H </w:t>
            </w:r>
            <w:r w:rsidR="0062476C">
              <w:t xml:space="preserve">     </w:t>
            </w:r>
            <w:r>
              <w:t xml:space="preserve">    +      D</w:t>
            </w:r>
          </w:p>
          <w:p w:rsidR="00ED78B5" w:rsidRDefault="00ED78B5" w:rsidP="00ED78B5">
            <w:pPr>
              <w:jc w:val="center"/>
              <w:rPr>
                <w:rtl/>
              </w:rPr>
            </w:pPr>
            <w:r>
              <w:t>(mM/ml)+ (ppm)</w:t>
            </w:r>
          </w:p>
        </w:tc>
        <w:tc>
          <w:tcPr>
            <w:tcW w:w="1476" w:type="dxa"/>
            <w:vMerge/>
            <w:vAlign w:val="center"/>
          </w:tcPr>
          <w:p w:rsidR="00ED78B5" w:rsidRDefault="00ED78B5" w:rsidP="00ED78B5">
            <w:pPr>
              <w:jc w:val="center"/>
              <w:rPr>
                <w:rtl/>
              </w:rPr>
            </w:pPr>
          </w:p>
        </w:tc>
      </w:tr>
      <w:tr w:rsidR="00ED78B5" w:rsidTr="0062476C">
        <w:trPr>
          <w:jc w:val="center"/>
        </w:trPr>
        <w:tc>
          <w:tcPr>
            <w:tcW w:w="1476" w:type="dxa"/>
            <w:vAlign w:val="center"/>
          </w:tcPr>
          <w:p w:rsidR="00ED78B5" w:rsidRDefault="0062476C" w:rsidP="00ED78B5">
            <w:pPr>
              <w:jc w:val="center"/>
              <w:rPr>
                <w:rtl/>
              </w:rPr>
            </w:pPr>
            <w:r>
              <w:t>+22</w:t>
            </w:r>
          </w:p>
        </w:tc>
        <w:tc>
          <w:tcPr>
            <w:tcW w:w="1476" w:type="dxa"/>
            <w:vAlign w:val="center"/>
          </w:tcPr>
          <w:p w:rsidR="00ED78B5" w:rsidRDefault="0062476C" w:rsidP="00ED78B5">
            <w:pPr>
              <w:jc w:val="center"/>
              <w:rPr>
                <w:rtl/>
              </w:rPr>
            </w:pPr>
            <w:r>
              <w:t>61</w:t>
            </w:r>
          </w:p>
        </w:tc>
        <w:tc>
          <w:tcPr>
            <w:tcW w:w="1476" w:type="dxa"/>
            <w:vAlign w:val="center"/>
          </w:tcPr>
          <w:p w:rsidR="00ED78B5" w:rsidRDefault="0062476C" w:rsidP="00ED78B5">
            <w:pPr>
              <w:jc w:val="center"/>
              <w:rPr>
                <w:rtl/>
              </w:rPr>
            </w:pPr>
            <w:r>
              <w:t>50</w:t>
            </w:r>
          </w:p>
        </w:tc>
        <w:tc>
          <w:tcPr>
            <w:tcW w:w="1343" w:type="dxa"/>
            <w:vAlign w:val="center"/>
          </w:tcPr>
          <w:p w:rsidR="00ED78B5" w:rsidRDefault="0062476C" w:rsidP="00ED78B5">
            <w:pPr>
              <w:jc w:val="center"/>
              <w:rPr>
                <w:rtl/>
              </w:rPr>
            </w:pPr>
            <w:r>
              <w:t>24</w:t>
            </w:r>
          </w:p>
        </w:tc>
        <w:tc>
          <w:tcPr>
            <w:tcW w:w="1609" w:type="dxa"/>
            <w:vAlign w:val="center"/>
          </w:tcPr>
          <w:p w:rsidR="00ED78B5" w:rsidRDefault="0062476C" w:rsidP="00ED78B5">
            <w:pPr>
              <w:jc w:val="center"/>
              <w:rPr>
                <w:rtl/>
              </w:rPr>
            </w:pPr>
            <w:r>
              <w:t>4.3+6</w:t>
            </w:r>
          </w:p>
        </w:tc>
        <w:tc>
          <w:tcPr>
            <w:tcW w:w="1476" w:type="dxa"/>
            <w:vMerge w:val="restart"/>
            <w:vAlign w:val="center"/>
          </w:tcPr>
          <w:p w:rsidR="00ED78B5" w:rsidRDefault="00ED78B5" w:rsidP="00ED78B5">
            <w:pPr>
              <w:jc w:val="center"/>
            </w:pPr>
            <w:r>
              <w:t>Fourth</w:t>
            </w:r>
          </w:p>
          <w:p w:rsidR="00ED78B5" w:rsidRDefault="00ED78B5" w:rsidP="00ED78B5">
            <w:pPr>
              <w:jc w:val="center"/>
              <w:rPr>
                <w:rtl/>
              </w:rPr>
            </w:pPr>
            <w:r>
              <w:t>Instar</w:t>
            </w:r>
          </w:p>
        </w:tc>
      </w:tr>
      <w:tr w:rsidR="00ED78B5" w:rsidTr="0062476C">
        <w:trPr>
          <w:jc w:val="center"/>
        </w:trPr>
        <w:tc>
          <w:tcPr>
            <w:tcW w:w="1476" w:type="dxa"/>
            <w:vAlign w:val="center"/>
          </w:tcPr>
          <w:p w:rsidR="00ED78B5" w:rsidRDefault="0062476C" w:rsidP="00ED78B5">
            <w:pPr>
              <w:jc w:val="center"/>
              <w:rPr>
                <w:rtl/>
              </w:rPr>
            </w:pPr>
            <w:r>
              <w:t>+24.21</w:t>
            </w:r>
          </w:p>
        </w:tc>
        <w:tc>
          <w:tcPr>
            <w:tcW w:w="1476" w:type="dxa"/>
            <w:vAlign w:val="center"/>
          </w:tcPr>
          <w:p w:rsidR="00ED78B5" w:rsidRDefault="0062476C" w:rsidP="00ED78B5">
            <w:pPr>
              <w:jc w:val="center"/>
              <w:rPr>
                <w:rtl/>
              </w:rPr>
            </w:pPr>
            <w:r>
              <w:t>67.2</w:t>
            </w:r>
          </w:p>
        </w:tc>
        <w:tc>
          <w:tcPr>
            <w:tcW w:w="1476" w:type="dxa"/>
            <w:vAlign w:val="center"/>
          </w:tcPr>
          <w:p w:rsidR="00ED78B5" w:rsidRDefault="0062476C" w:rsidP="00ED78B5">
            <w:pPr>
              <w:jc w:val="center"/>
              <w:rPr>
                <w:rtl/>
              </w:rPr>
            </w:pPr>
            <w:r>
              <w:t>54.10</w:t>
            </w:r>
          </w:p>
        </w:tc>
        <w:tc>
          <w:tcPr>
            <w:tcW w:w="1343" w:type="dxa"/>
            <w:vAlign w:val="center"/>
          </w:tcPr>
          <w:p w:rsidR="00ED78B5" w:rsidRDefault="0062476C" w:rsidP="00ED78B5">
            <w:pPr>
              <w:jc w:val="center"/>
              <w:rPr>
                <w:rtl/>
              </w:rPr>
            </w:pPr>
            <w:r>
              <w:t>48</w:t>
            </w:r>
          </w:p>
        </w:tc>
        <w:tc>
          <w:tcPr>
            <w:tcW w:w="1609" w:type="dxa"/>
            <w:vAlign w:val="center"/>
          </w:tcPr>
          <w:p w:rsidR="00ED78B5" w:rsidRDefault="0062476C" w:rsidP="00ED78B5">
            <w:pPr>
              <w:jc w:val="center"/>
              <w:rPr>
                <w:rtl/>
              </w:rPr>
            </w:pPr>
            <w:r>
              <w:t>1.5+4.5</w:t>
            </w:r>
          </w:p>
        </w:tc>
        <w:tc>
          <w:tcPr>
            <w:tcW w:w="1476" w:type="dxa"/>
            <w:vMerge/>
            <w:vAlign w:val="center"/>
          </w:tcPr>
          <w:p w:rsidR="00ED78B5" w:rsidRDefault="00ED78B5" w:rsidP="00ED78B5">
            <w:pPr>
              <w:jc w:val="center"/>
              <w:rPr>
                <w:rtl/>
              </w:rPr>
            </w:pPr>
          </w:p>
        </w:tc>
      </w:tr>
      <w:tr w:rsidR="00ED78B5" w:rsidTr="0062476C">
        <w:trPr>
          <w:jc w:val="center"/>
        </w:trPr>
        <w:tc>
          <w:tcPr>
            <w:tcW w:w="1476" w:type="dxa"/>
            <w:vAlign w:val="center"/>
          </w:tcPr>
          <w:p w:rsidR="00ED78B5" w:rsidRDefault="0062476C" w:rsidP="00ED78B5">
            <w:pPr>
              <w:jc w:val="center"/>
              <w:rPr>
                <w:rtl/>
              </w:rPr>
            </w:pPr>
            <w:r>
              <w:t>+10.16</w:t>
            </w:r>
          </w:p>
        </w:tc>
        <w:tc>
          <w:tcPr>
            <w:tcW w:w="1476" w:type="dxa"/>
            <w:vAlign w:val="center"/>
          </w:tcPr>
          <w:p w:rsidR="00ED78B5" w:rsidRDefault="0062476C" w:rsidP="00ED78B5">
            <w:pPr>
              <w:jc w:val="center"/>
              <w:rPr>
                <w:rtl/>
              </w:rPr>
            </w:pPr>
            <w:r>
              <w:t>66.1</w:t>
            </w:r>
          </w:p>
        </w:tc>
        <w:tc>
          <w:tcPr>
            <w:tcW w:w="1476" w:type="dxa"/>
            <w:vAlign w:val="center"/>
          </w:tcPr>
          <w:p w:rsidR="00ED78B5" w:rsidRDefault="0062476C" w:rsidP="00ED78B5">
            <w:pPr>
              <w:jc w:val="center"/>
              <w:rPr>
                <w:rtl/>
              </w:rPr>
            </w:pPr>
            <w:r>
              <w:t>60</w:t>
            </w:r>
          </w:p>
        </w:tc>
        <w:tc>
          <w:tcPr>
            <w:tcW w:w="1343" w:type="dxa"/>
            <w:vAlign w:val="center"/>
          </w:tcPr>
          <w:p w:rsidR="00ED78B5" w:rsidRDefault="0062476C" w:rsidP="00ED78B5">
            <w:pPr>
              <w:jc w:val="center"/>
              <w:rPr>
                <w:rtl/>
              </w:rPr>
            </w:pPr>
            <w:r>
              <w:t>72</w:t>
            </w:r>
          </w:p>
        </w:tc>
        <w:tc>
          <w:tcPr>
            <w:tcW w:w="1609" w:type="dxa"/>
            <w:vAlign w:val="center"/>
          </w:tcPr>
          <w:p w:rsidR="00ED78B5" w:rsidRDefault="0062476C" w:rsidP="00ED78B5">
            <w:pPr>
              <w:jc w:val="center"/>
              <w:rPr>
                <w:rtl/>
              </w:rPr>
            </w:pPr>
            <w:r>
              <w:t>0.7+2.6</w:t>
            </w:r>
          </w:p>
        </w:tc>
        <w:tc>
          <w:tcPr>
            <w:tcW w:w="1476" w:type="dxa"/>
            <w:vMerge/>
            <w:vAlign w:val="center"/>
          </w:tcPr>
          <w:p w:rsidR="00ED78B5" w:rsidRDefault="00ED78B5" w:rsidP="00ED78B5">
            <w:pPr>
              <w:jc w:val="center"/>
              <w:rPr>
                <w:rtl/>
              </w:rPr>
            </w:pPr>
          </w:p>
        </w:tc>
      </w:tr>
      <w:tr w:rsidR="00ED78B5" w:rsidTr="0062476C">
        <w:trPr>
          <w:jc w:val="center"/>
        </w:trPr>
        <w:tc>
          <w:tcPr>
            <w:tcW w:w="1476" w:type="dxa"/>
            <w:vAlign w:val="center"/>
          </w:tcPr>
          <w:p w:rsidR="00ED78B5" w:rsidRDefault="0062476C" w:rsidP="00ED78B5">
            <w:pPr>
              <w:jc w:val="center"/>
              <w:rPr>
                <w:rtl/>
              </w:rPr>
            </w:pPr>
            <w:r>
              <w:t>+31.11</w:t>
            </w:r>
          </w:p>
        </w:tc>
        <w:tc>
          <w:tcPr>
            <w:tcW w:w="1476" w:type="dxa"/>
            <w:vAlign w:val="center"/>
          </w:tcPr>
          <w:p w:rsidR="00ED78B5" w:rsidRDefault="0062476C" w:rsidP="00ED78B5">
            <w:pPr>
              <w:jc w:val="center"/>
              <w:rPr>
                <w:rtl/>
              </w:rPr>
            </w:pPr>
            <w:r>
              <w:t>59</w:t>
            </w:r>
          </w:p>
        </w:tc>
        <w:tc>
          <w:tcPr>
            <w:tcW w:w="1476" w:type="dxa"/>
            <w:vAlign w:val="center"/>
          </w:tcPr>
          <w:p w:rsidR="00ED78B5" w:rsidRDefault="0062476C" w:rsidP="00ED78B5">
            <w:pPr>
              <w:jc w:val="center"/>
              <w:rPr>
                <w:rtl/>
              </w:rPr>
            </w:pPr>
            <w:r>
              <w:t>45</w:t>
            </w:r>
          </w:p>
        </w:tc>
        <w:tc>
          <w:tcPr>
            <w:tcW w:w="1343" w:type="dxa"/>
            <w:vAlign w:val="center"/>
          </w:tcPr>
          <w:p w:rsidR="00ED78B5" w:rsidRDefault="0062476C" w:rsidP="00ED78B5">
            <w:pPr>
              <w:jc w:val="center"/>
              <w:rPr>
                <w:rtl/>
              </w:rPr>
            </w:pPr>
            <w:r>
              <w:t>24</w:t>
            </w:r>
          </w:p>
        </w:tc>
        <w:tc>
          <w:tcPr>
            <w:tcW w:w="1609" w:type="dxa"/>
            <w:vAlign w:val="center"/>
          </w:tcPr>
          <w:p w:rsidR="00ED78B5" w:rsidRDefault="0062476C" w:rsidP="00ED78B5">
            <w:pPr>
              <w:jc w:val="center"/>
              <w:rPr>
                <w:rtl/>
              </w:rPr>
            </w:pPr>
            <w:r>
              <w:t>0.8+0.7</w:t>
            </w:r>
          </w:p>
        </w:tc>
        <w:tc>
          <w:tcPr>
            <w:tcW w:w="1476" w:type="dxa"/>
            <w:vMerge w:val="restart"/>
            <w:vAlign w:val="center"/>
          </w:tcPr>
          <w:p w:rsidR="00ED78B5" w:rsidRDefault="00ED78B5" w:rsidP="00ED78B5">
            <w:pPr>
              <w:jc w:val="center"/>
            </w:pPr>
            <w:r>
              <w:t>Second</w:t>
            </w:r>
          </w:p>
          <w:p w:rsidR="00ED78B5" w:rsidRDefault="00760B34" w:rsidP="00ED78B5">
            <w:pPr>
              <w:jc w:val="center"/>
              <w:rPr>
                <w:rtl/>
              </w:rPr>
            </w:pPr>
            <w:r>
              <w:t>I</w:t>
            </w:r>
            <w:r w:rsidR="00ED78B5">
              <w:t>nstar</w:t>
            </w:r>
          </w:p>
        </w:tc>
      </w:tr>
      <w:tr w:rsidR="00ED78B5" w:rsidTr="0062476C">
        <w:trPr>
          <w:jc w:val="center"/>
        </w:trPr>
        <w:tc>
          <w:tcPr>
            <w:tcW w:w="1476" w:type="dxa"/>
            <w:vAlign w:val="center"/>
          </w:tcPr>
          <w:p w:rsidR="00ED78B5" w:rsidRDefault="0062476C" w:rsidP="00ED78B5">
            <w:pPr>
              <w:jc w:val="center"/>
              <w:rPr>
                <w:rtl/>
              </w:rPr>
            </w:pPr>
            <w:r>
              <w:t>+23</w:t>
            </w:r>
          </w:p>
        </w:tc>
        <w:tc>
          <w:tcPr>
            <w:tcW w:w="1476" w:type="dxa"/>
            <w:vAlign w:val="center"/>
          </w:tcPr>
          <w:p w:rsidR="00ED78B5" w:rsidRDefault="0062476C" w:rsidP="00ED78B5">
            <w:pPr>
              <w:jc w:val="center"/>
              <w:rPr>
                <w:rtl/>
              </w:rPr>
            </w:pPr>
            <w:r>
              <w:t>65.55</w:t>
            </w:r>
          </w:p>
        </w:tc>
        <w:tc>
          <w:tcPr>
            <w:tcW w:w="1476" w:type="dxa"/>
            <w:vAlign w:val="center"/>
          </w:tcPr>
          <w:p w:rsidR="00ED78B5" w:rsidRDefault="0062476C" w:rsidP="00ED78B5">
            <w:pPr>
              <w:jc w:val="center"/>
              <w:rPr>
                <w:rtl/>
              </w:rPr>
            </w:pPr>
            <w:r>
              <w:t>53.3</w:t>
            </w:r>
          </w:p>
        </w:tc>
        <w:tc>
          <w:tcPr>
            <w:tcW w:w="1343" w:type="dxa"/>
            <w:vAlign w:val="center"/>
          </w:tcPr>
          <w:p w:rsidR="00ED78B5" w:rsidRDefault="0062476C" w:rsidP="00ED78B5">
            <w:pPr>
              <w:jc w:val="center"/>
              <w:rPr>
                <w:rtl/>
              </w:rPr>
            </w:pPr>
            <w:r>
              <w:t>48</w:t>
            </w:r>
          </w:p>
        </w:tc>
        <w:tc>
          <w:tcPr>
            <w:tcW w:w="1609" w:type="dxa"/>
            <w:vAlign w:val="center"/>
          </w:tcPr>
          <w:p w:rsidR="00ED78B5" w:rsidRDefault="0062476C" w:rsidP="00ED78B5">
            <w:pPr>
              <w:jc w:val="center"/>
              <w:rPr>
                <w:rtl/>
              </w:rPr>
            </w:pPr>
            <w:r>
              <w:t>0.38+0.2</w:t>
            </w:r>
          </w:p>
        </w:tc>
        <w:tc>
          <w:tcPr>
            <w:tcW w:w="1476" w:type="dxa"/>
            <w:vMerge/>
            <w:vAlign w:val="center"/>
          </w:tcPr>
          <w:p w:rsidR="00ED78B5" w:rsidRDefault="00ED78B5" w:rsidP="00ED78B5">
            <w:pPr>
              <w:jc w:val="center"/>
              <w:rPr>
                <w:rtl/>
              </w:rPr>
            </w:pPr>
          </w:p>
        </w:tc>
      </w:tr>
      <w:tr w:rsidR="00ED78B5" w:rsidTr="0062476C">
        <w:trPr>
          <w:jc w:val="center"/>
        </w:trPr>
        <w:tc>
          <w:tcPr>
            <w:tcW w:w="1476" w:type="dxa"/>
            <w:vAlign w:val="center"/>
          </w:tcPr>
          <w:p w:rsidR="00ED78B5" w:rsidRDefault="0062476C" w:rsidP="00ED78B5">
            <w:pPr>
              <w:jc w:val="center"/>
              <w:rPr>
                <w:rtl/>
              </w:rPr>
            </w:pPr>
            <w:r>
              <w:t>+8</w:t>
            </w:r>
          </w:p>
        </w:tc>
        <w:tc>
          <w:tcPr>
            <w:tcW w:w="1476" w:type="dxa"/>
            <w:vAlign w:val="center"/>
          </w:tcPr>
          <w:p w:rsidR="00ED78B5" w:rsidRDefault="0062476C" w:rsidP="00ED78B5">
            <w:pPr>
              <w:jc w:val="center"/>
              <w:rPr>
                <w:rtl/>
              </w:rPr>
            </w:pPr>
            <w:r>
              <w:t>66.74</w:t>
            </w:r>
          </w:p>
        </w:tc>
        <w:tc>
          <w:tcPr>
            <w:tcW w:w="1476" w:type="dxa"/>
            <w:vAlign w:val="center"/>
          </w:tcPr>
          <w:p w:rsidR="00ED78B5" w:rsidRDefault="0062476C" w:rsidP="00ED78B5">
            <w:pPr>
              <w:jc w:val="center"/>
              <w:rPr>
                <w:rtl/>
              </w:rPr>
            </w:pPr>
            <w:r>
              <w:t>66.5</w:t>
            </w:r>
          </w:p>
        </w:tc>
        <w:tc>
          <w:tcPr>
            <w:tcW w:w="1343" w:type="dxa"/>
            <w:vAlign w:val="center"/>
          </w:tcPr>
          <w:p w:rsidR="00ED78B5" w:rsidRDefault="0062476C" w:rsidP="00ED78B5">
            <w:pPr>
              <w:jc w:val="center"/>
              <w:rPr>
                <w:rtl/>
              </w:rPr>
            </w:pPr>
            <w:r>
              <w:t>72</w:t>
            </w:r>
          </w:p>
        </w:tc>
        <w:tc>
          <w:tcPr>
            <w:tcW w:w="1609" w:type="dxa"/>
            <w:vAlign w:val="center"/>
          </w:tcPr>
          <w:p w:rsidR="00ED78B5" w:rsidRDefault="0062476C" w:rsidP="00ED78B5">
            <w:pPr>
              <w:jc w:val="center"/>
              <w:rPr>
                <w:rtl/>
              </w:rPr>
            </w:pPr>
            <w:r>
              <w:t>0.14+0.05</w:t>
            </w:r>
          </w:p>
        </w:tc>
        <w:tc>
          <w:tcPr>
            <w:tcW w:w="1476" w:type="dxa"/>
            <w:vMerge/>
            <w:vAlign w:val="center"/>
          </w:tcPr>
          <w:p w:rsidR="00ED78B5" w:rsidRDefault="00ED78B5" w:rsidP="00ED78B5">
            <w:pPr>
              <w:jc w:val="center"/>
              <w:rPr>
                <w:rtl/>
              </w:rPr>
            </w:pPr>
          </w:p>
        </w:tc>
      </w:tr>
    </w:tbl>
    <w:p w:rsidR="0062476C" w:rsidRPr="00760B34" w:rsidRDefault="0062476C" w:rsidP="00760B34">
      <w:pPr>
        <w:jc w:val="right"/>
        <w:rPr>
          <w:rFonts w:asciiTheme="minorBidi" w:hAnsiTheme="minorBidi" w:cstheme="minorBidi"/>
        </w:rPr>
      </w:pPr>
      <w:r w:rsidRPr="00760B34">
        <w:rPr>
          <w:rFonts w:asciiTheme="minorBidi" w:hAnsiTheme="minorBidi" w:cstheme="minorBidi"/>
        </w:rPr>
        <w:t xml:space="preserve">Table (6): The combined effect of  hematoporphyrin (H) and dimilin (D) against </w:t>
      </w:r>
      <w:r w:rsidRPr="00760B34">
        <w:rPr>
          <w:rFonts w:asciiTheme="minorBidi" w:hAnsiTheme="minorBidi" w:cstheme="minorBidi"/>
          <w:i/>
          <w:iCs/>
        </w:rPr>
        <w:t>C. pipiens</w:t>
      </w:r>
      <w:r w:rsidRPr="00760B34">
        <w:rPr>
          <w:rFonts w:asciiTheme="minorBidi" w:hAnsiTheme="minorBidi" w:cstheme="minorBidi"/>
        </w:rPr>
        <w:t xml:space="preserve"> larvae when used pre-treated with either of them</w:t>
      </w:r>
    </w:p>
    <w:p w:rsidR="00587902" w:rsidRDefault="00587902" w:rsidP="00424E0B">
      <w:pPr>
        <w:jc w:val="right"/>
      </w:pPr>
    </w:p>
    <w:tbl>
      <w:tblPr>
        <w:tblStyle w:val="TableGrid"/>
        <w:bidiVisual/>
        <w:tblW w:w="0" w:type="auto"/>
        <w:tblLook w:val="04A0"/>
      </w:tblPr>
      <w:tblGrid>
        <w:gridCol w:w="1235"/>
        <w:gridCol w:w="1417"/>
        <w:gridCol w:w="1418"/>
        <w:gridCol w:w="1417"/>
        <w:gridCol w:w="1985"/>
        <w:gridCol w:w="1384"/>
      </w:tblGrid>
      <w:tr w:rsidR="007D1900" w:rsidTr="007D1900">
        <w:tc>
          <w:tcPr>
            <w:tcW w:w="1235" w:type="dxa"/>
            <w:vMerge w:val="restart"/>
            <w:vAlign w:val="center"/>
          </w:tcPr>
          <w:p w:rsidR="00587902" w:rsidRDefault="007D1900" w:rsidP="00587902">
            <w:pPr>
              <w:jc w:val="center"/>
            </w:pPr>
            <w:r>
              <w:t>Co</w:t>
            </w:r>
          </w:p>
          <w:p w:rsidR="007D1900" w:rsidRDefault="007D1900" w:rsidP="00587902">
            <w:pPr>
              <w:jc w:val="center"/>
            </w:pPr>
            <w:r>
              <w:t>Toxicity</w:t>
            </w:r>
          </w:p>
          <w:p w:rsidR="007D1900" w:rsidRDefault="007D1900" w:rsidP="00587902">
            <w:pPr>
              <w:jc w:val="center"/>
              <w:rPr>
                <w:rtl/>
              </w:rPr>
            </w:pPr>
            <w:r>
              <w:t>factor</w:t>
            </w:r>
          </w:p>
        </w:tc>
        <w:tc>
          <w:tcPr>
            <w:tcW w:w="2835" w:type="dxa"/>
            <w:gridSpan w:val="2"/>
            <w:vAlign w:val="center"/>
          </w:tcPr>
          <w:p w:rsidR="00587902" w:rsidRDefault="007D1900" w:rsidP="00587902">
            <w:pPr>
              <w:jc w:val="center"/>
            </w:pPr>
            <w:r>
              <w:t>Averages of mortality</w:t>
            </w:r>
          </w:p>
          <w:p w:rsidR="007D1900" w:rsidRDefault="007D1900" w:rsidP="00587902">
            <w:pPr>
              <w:jc w:val="center"/>
              <w:rPr>
                <w:rtl/>
              </w:rPr>
            </w:pPr>
            <w:r>
              <w:t>%</w:t>
            </w:r>
          </w:p>
        </w:tc>
        <w:tc>
          <w:tcPr>
            <w:tcW w:w="1417" w:type="dxa"/>
            <w:vMerge w:val="restart"/>
            <w:vAlign w:val="center"/>
          </w:tcPr>
          <w:p w:rsidR="00587902" w:rsidRDefault="007D1900" w:rsidP="00587902">
            <w:pPr>
              <w:jc w:val="center"/>
            </w:pPr>
            <w:r>
              <w:t>Exposure</w:t>
            </w:r>
          </w:p>
          <w:p w:rsidR="007D1900" w:rsidRDefault="007D1900" w:rsidP="00587902">
            <w:pPr>
              <w:jc w:val="center"/>
            </w:pPr>
            <w:r>
              <w:t>Time</w:t>
            </w:r>
          </w:p>
          <w:p w:rsidR="007D1900" w:rsidRDefault="007D1900" w:rsidP="00587902">
            <w:pPr>
              <w:jc w:val="center"/>
              <w:rPr>
                <w:rtl/>
              </w:rPr>
            </w:pPr>
            <w:r>
              <w:t>(hour)</w:t>
            </w:r>
          </w:p>
        </w:tc>
        <w:tc>
          <w:tcPr>
            <w:tcW w:w="1985" w:type="dxa"/>
            <w:vAlign w:val="center"/>
          </w:tcPr>
          <w:p w:rsidR="00587902" w:rsidRDefault="00587902" w:rsidP="00587902">
            <w:pPr>
              <w:jc w:val="center"/>
            </w:pPr>
            <w:r>
              <w:t>Concentrations</w:t>
            </w:r>
          </w:p>
          <w:p w:rsidR="00587902" w:rsidRPr="00587902" w:rsidRDefault="00587902" w:rsidP="00587902">
            <w:pPr>
              <w:jc w:val="center"/>
              <w:rPr>
                <w:vertAlign w:val="subscript"/>
                <w:rtl/>
              </w:rPr>
            </w:pPr>
            <w:r>
              <w:t>Used at LC</w:t>
            </w:r>
            <w:r>
              <w:rPr>
                <w:vertAlign w:val="subscript"/>
              </w:rPr>
              <w:t>25</w:t>
            </w:r>
          </w:p>
        </w:tc>
        <w:tc>
          <w:tcPr>
            <w:tcW w:w="1384" w:type="dxa"/>
            <w:vMerge w:val="restart"/>
            <w:vAlign w:val="center"/>
          </w:tcPr>
          <w:p w:rsidR="00587902" w:rsidRDefault="00587902" w:rsidP="00587902">
            <w:pPr>
              <w:jc w:val="center"/>
              <w:rPr>
                <w:rtl/>
              </w:rPr>
            </w:pPr>
            <w:r>
              <w:t>Larval instar</w:t>
            </w:r>
          </w:p>
        </w:tc>
      </w:tr>
      <w:tr w:rsidR="007D1900" w:rsidTr="007D1900">
        <w:tc>
          <w:tcPr>
            <w:tcW w:w="1235" w:type="dxa"/>
            <w:vMerge/>
            <w:vAlign w:val="center"/>
          </w:tcPr>
          <w:p w:rsidR="00587902" w:rsidRDefault="00587902" w:rsidP="00587902">
            <w:pPr>
              <w:jc w:val="center"/>
              <w:rPr>
                <w:rtl/>
              </w:rPr>
            </w:pPr>
          </w:p>
        </w:tc>
        <w:tc>
          <w:tcPr>
            <w:tcW w:w="1417" w:type="dxa"/>
            <w:vAlign w:val="center"/>
          </w:tcPr>
          <w:p w:rsidR="00587902" w:rsidRDefault="007D1900" w:rsidP="00587902">
            <w:pPr>
              <w:jc w:val="center"/>
              <w:rPr>
                <w:rtl/>
              </w:rPr>
            </w:pPr>
            <w:r>
              <w:t>Observed</w:t>
            </w:r>
          </w:p>
        </w:tc>
        <w:tc>
          <w:tcPr>
            <w:tcW w:w="1418" w:type="dxa"/>
            <w:vAlign w:val="center"/>
          </w:tcPr>
          <w:p w:rsidR="00587902" w:rsidRDefault="007D1900" w:rsidP="00587902">
            <w:pPr>
              <w:jc w:val="center"/>
              <w:rPr>
                <w:rtl/>
              </w:rPr>
            </w:pPr>
            <w:r>
              <w:t>Expected</w:t>
            </w:r>
          </w:p>
        </w:tc>
        <w:tc>
          <w:tcPr>
            <w:tcW w:w="1417" w:type="dxa"/>
            <w:vMerge/>
            <w:vAlign w:val="center"/>
          </w:tcPr>
          <w:p w:rsidR="00587902" w:rsidRDefault="00587902" w:rsidP="00587902">
            <w:pPr>
              <w:jc w:val="center"/>
              <w:rPr>
                <w:rtl/>
              </w:rPr>
            </w:pPr>
          </w:p>
        </w:tc>
        <w:tc>
          <w:tcPr>
            <w:tcW w:w="1985" w:type="dxa"/>
            <w:vAlign w:val="center"/>
          </w:tcPr>
          <w:p w:rsidR="00587902" w:rsidRDefault="00587902" w:rsidP="00587902">
            <w:pPr>
              <w:jc w:val="center"/>
            </w:pPr>
            <w:r>
              <w:t>H          +       D</w:t>
            </w:r>
          </w:p>
          <w:p w:rsidR="00587902" w:rsidRDefault="00587902" w:rsidP="00587902">
            <w:pPr>
              <w:jc w:val="center"/>
              <w:rPr>
                <w:rtl/>
              </w:rPr>
            </w:pPr>
            <w:r>
              <w:t>(mM/ml)+(ppm)</w:t>
            </w:r>
          </w:p>
        </w:tc>
        <w:tc>
          <w:tcPr>
            <w:tcW w:w="1384" w:type="dxa"/>
            <w:vMerge/>
            <w:vAlign w:val="center"/>
          </w:tcPr>
          <w:p w:rsidR="00587902" w:rsidRDefault="00587902" w:rsidP="00587902">
            <w:pPr>
              <w:jc w:val="center"/>
              <w:rPr>
                <w:rtl/>
              </w:rPr>
            </w:pPr>
          </w:p>
        </w:tc>
      </w:tr>
      <w:tr w:rsidR="007D1900" w:rsidTr="007D1900">
        <w:tc>
          <w:tcPr>
            <w:tcW w:w="1235" w:type="dxa"/>
            <w:vAlign w:val="center"/>
          </w:tcPr>
          <w:p w:rsidR="00587902" w:rsidRDefault="007D1900" w:rsidP="00587902">
            <w:pPr>
              <w:jc w:val="center"/>
              <w:rPr>
                <w:rtl/>
              </w:rPr>
            </w:pPr>
            <w:r>
              <w:t>+11</w:t>
            </w:r>
          </w:p>
        </w:tc>
        <w:tc>
          <w:tcPr>
            <w:tcW w:w="1417" w:type="dxa"/>
            <w:vAlign w:val="center"/>
          </w:tcPr>
          <w:p w:rsidR="00587902" w:rsidRDefault="007D1900" w:rsidP="00587902">
            <w:pPr>
              <w:jc w:val="center"/>
              <w:rPr>
                <w:rtl/>
              </w:rPr>
            </w:pPr>
            <w:r>
              <w:t>49.75</w:t>
            </w:r>
          </w:p>
        </w:tc>
        <w:tc>
          <w:tcPr>
            <w:tcW w:w="1418" w:type="dxa"/>
            <w:vAlign w:val="center"/>
          </w:tcPr>
          <w:p w:rsidR="00587902" w:rsidRDefault="007D1900" w:rsidP="00587902">
            <w:pPr>
              <w:jc w:val="center"/>
              <w:rPr>
                <w:rtl/>
              </w:rPr>
            </w:pPr>
            <w:r>
              <w:t>44.65</w:t>
            </w:r>
          </w:p>
        </w:tc>
        <w:tc>
          <w:tcPr>
            <w:tcW w:w="1417" w:type="dxa"/>
            <w:vAlign w:val="center"/>
          </w:tcPr>
          <w:p w:rsidR="00587902" w:rsidRDefault="007D1900" w:rsidP="00587902">
            <w:pPr>
              <w:jc w:val="center"/>
              <w:rPr>
                <w:rtl/>
              </w:rPr>
            </w:pPr>
            <w:r>
              <w:t>24</w:t>
            </w:r>
          </w:p>
        </w:tc>
        <w:tc>
          <w:tcPr>
            <w:tcW w:w="1985" w:type="dxa"/>
            <w:vAlign w:val="center"/>
          </w:tcPr>
          <w:p w:rsidR="00587902" w:rsidRDefault="007D1900" w:rsidP="00587902">
            <w:pPr>
              <w:jc w:val="center"/>
              <w:rPr>
                <w:rtl/>
              </w:rPr>
            </w:pPr>
            <w:r>
              <w:t>4.3 followed by 6</w:t>
            </w:r>
          </w:p>
        </w:tc>
        <w:tc>
          <w:tcPr>
            <w:tcW w:w="1384" w:type="dxa"/>
            <w:vMerge w:val="restart"/>
            <w:vAlign w:val="center"/>
          </w:tcPr>
          <w:p w:rsidR="00587902" w:rsidRDefault="00587902" w:rsidP="00587902">
            <w:pPr>
              <w:jc w:val="center"/>
            </w:pPr>
            <w:r>
              <w:t>Forth instar</w:t>
            </w:r>
          </w:p>
          <w:p w:rsidR="00587902" w:rsidRDefault="00587902" w:rsidP="00587902">
            <w:pPr>
              <w:jc w:val="center"/>
            </w:pPr>
            <w:r>
              <w:t>Pre-treated</w:t>
            </w:r>
          </w:p>
          <w:p w:rsidR="00587902" w:rsidRDefault="00587902" w:rsidP="00587902">
            <w:pPr>
              <w:jc w:val="center"/>
              <w:rPr>
                <w:rtl/>
              </w:rPr>
            </w:pPr>
            <w:r>
              <w:t>with (H)</w:t>
            </w:r>
          </w:p>
        </w:tc>
      </w:tr>
      <w:tr w:rsidR="007D1900" w:rsidTr="007D1900">
        <w:tc>
          <w:tcPr>
            <w:tcW w:w="1235" w:type="dxa"/>
            <w:vAlign w:val="center"/>
          </w:tcPr>
          <w:p w:rsidR="00587902" w:rsidRDefault="007D1900" w:rsidP="00587902">
            <w:pPr>
              <w:jc w:val="center"/>
              <w:rPr>
                <w:rtl/>
              </w:rPr>
            </w:pPr>
            <w:r>
              <w:t>+12</w:t>
            </w:r>
          </w:p>
        </w:tc>
        <w:tc>
          <w:tcPr>
            <w:tcW w:w="1417" w:type="dxa"/>
            <w:vAlign w:val="center"/>
          </w:tcPr>
          <w:p w:rsidR="00587902" w:rsidRDefault="007D1900" w:rsidP="00587902">
            <w:pPr>
              <w:jc w:val="center"/>
              <w:rPr>
                <w:rtl/>
              </w:rPr>
            </w:pPr>
            <w:r>
              <w:t>56.34</w:t>
            </w:r>
          </w:p>
        </w:tc>
        <w:tc>
          <w:tcPr>
            <w:tcW w:w="1418" w:type="dxa"/>
            <w:vAlign w:val="center"/>
          </w:tcPr>
          <w:p w:rsidR="00587902" w:rsidRDefault="007D1900" w:rsidP="00587902">
            <w:pPr>
              <w:jc w:val="center"/>
              <w:rPr>
                <w:rtl/>
              </w:rPr>
            </w:pPr>
            <w:r>
              <w:t>50.56</w:t>
            </w:r>
          </w:p>
        </w:tc>
        <w:tc>
          <w:tcPr>
            <w:tcW w:w="1417" w:type="dxa"/>
            <w:vAlign w:val="center"/>
          </w:tcPr>
          <w:p w:rsidR="00587902" w:rsidRDefault="007D1900" w:rsidP="00587902">
            <w:pPr>
              <w:jc w:val="center"/>
              <w:rPr>
                <w:rtl/>
              </w:rPr>
            </w:pPr>
            <w:r>
              <w:t>48</w:t>
            </w:r>
          </w:p>
        </w:tc>
        <w:tc>
          <w:tcPr>
            <w:tcW w:w="1985" w:type="dxa"/>
            <w:vAlign w:val="center"/>
          </w:tcPr>
          <w:p w:rsidR="00587902" w:rsidRDefault="007D1900" w:rsidP="00587902">
            <w:pPr>
              <w:jc w:val="center"/>
              <w:rPr>
                <w:rtl/>
              </w:rPr>
            </w:pPr>
            <w:r>
              <w:t>1.5 followed by 4.5</w:t>
            </w:r>
          </w:p>
        </w:tc>
        <w:tc>
          <w:tcPr>
            <w:tcW w:w="1384" w:type="dxa"/>
            <w:vMerge/>
            <w:vAlign w:val="center"/>
          </w:tcPr>
          <w:p w:rsidR="00587902" w:rsidRDefault="00587902" w:rsidP="00587902">
            <w:pPr>
              <w:jc w:val="center"/>
              <w:rPr>
                <w:rtl/>
              </w:rPr>
            </w:pPr>
          </w:p>
        </w:tc>
      </w:tr>
      <w:tr w:rsidR="007D1900" w:rsidTr="007D1900">
        <w:tc>
          <w:tcPr>
            <w:tcW w:w="1235" w:type="dxa"/>
            <w:vAlign w:val="center"/>
          </w:tcPr>
          <w:p w:rsidR="00587902" w:rsidRDefault="007D1900" w:rsidP="00587902">
            <w:pPr>
              <w:jc w:val="center"/>
              <w:rPr>
                <w:rtl/>
              </w:rPr>
            </w:pPr>
            <w:r>
              <w:t>+12</w:t>
            </w:r>
          </w:p>
        </w:tc>
        <w:tc>
          <w:tcPr>
            <w:tcW w:w="1417" w:type="dxa"/>
            <w:vAlign w:val="center"/>
          </w:tcPr>
          <w:p w:rsidR="00587902" w:rsidRDefault="007D1900" w:rsidP="00587902">
            <w:pPr>
              <w:jc w:val="center"/>
              <w:rPr>
                <w:rtl/>
              </w:rPr>
            </w:pPr>
            <w:r>
              <w:t>75.4</w:t>
            </w:r>
          </w:p>
        </w:tc>
        <w:tc>
          <w:tcPr>
            <w:tcW w:w="1418" w:type="dxa"/>
            <w:vAlign w:val="center"/>
          </w:tcPr>
          <w:p w:rsidR="00587902" w:rsidRDefault="007D1900" w:rsidP="00587902">
            <w:pPr>
              <w:jc w:val="center"/>
              <w:rPr>
                <w:rtl/>
              </w:rPr>
            </w:pPr>
            <w:r>
              <w:t>67.5</w:t>
            </w:r>
          </w:p>
        </w:tc>
        <w:tc>
          <w:tcPr>
            <w:tcW w:w="1417" w:type="dxa"/>
            <w:vAlign w:val="center"/>
          </w:tcPr>
          <w:p w:rsidR="00587902" w:rsidRDefault="007D1900" w:rsidP="00587902">
            <w:pPr>
              <w:jc w:val="center"/>
              <w:rPr>
                <w:rtl/>
              </w:rPr>
            </w:pPr>
            <w:r>
              <w:t>72</w:t>
            </w:r>
          </w:p>
        </w:tc>
        <w:tc>
          <w:tcPr>
            <w:tcW w:w="1985" w:type="dxa"/>
            <w:vAlign w:val="center"/>
          </w:tcPr>
          <w:p w:rsidR="00587902" w:rsidRDefault="007D1900" w:rsidP="00587902">
            <w:pPr>
              <w:jc w:val="center"/>
              <w:rPr>
                <w:rtl/>
              </w:rPr>
            </w:pPr>
            <w:r>
              <w:t>0.7 followed by 2.6</w:t>
            </w:r>
          </w:p>
        </w:tc>
        <w:tc>
          <w:tcPr>
            <w:tcW w:w="1384" w:type="dxa"/>
            <w:vMerge/>
            <w:vAlign w:val="center"/>
          </w:tcPr>
          <w:p w:rsidR="00587902" w:rsidRDefault="00587902" w:rsidP="00587902">
            <w:pPr>
              <w:jc w:val="center"/>
              <w:rPr>
                <w:rtl/>
              </w:rPr>
            </w:pPr>
          </w:p>
        </w:tc>
      </w:tr>
      <w:tr w:rsidR="007D1900" w:rsidTr="007D1900">
        <w:tc>
          <w:tcPr>
            <w:tcW w:w="1235" w:type="dxa"/>
            <w:vAlign w:val="center"/>
          </w:tcPr>
          <w:p w:rsidR="00587902" w:rsidRDefault="007D1900" w:rsidP="00587902">
            <w:pPr>
              <w:jc w:val="center"/>
              <w:rPr>
                <w:rtl/>
              </w:rPr>
            </w:pPr>
            <w:r>
              <w:t>+32</w:t>
            </w:r>
          </w:p>
        </w:tc>
        <w:tc>
          <w:tcPr>
            <w:tcW w:w="1417" w:type="dxa"/>
            <w:vAlign w:val="center"/>
          </w:tcPr>
          <w:p w:rsidR="00587902" w:rsidRDefault="007D1900" w:rsidP="00587902">
            <w:pPr>
              <w:jc w:val="center"/>
              <w:rPr>
                <w:rtl/>
              </w:rPr>
            </w:pPr>
            <w:r>
              <w:t>65.8</w:t>
            </w:r>
          </w:p>
        </w:tc>
        <w:tc>
          <w:tcPr>
            <w:tcW w:w="1418" w:type="dxa"/>
            <w:vAlign w:val="center"/>
          </w:tcPr>
          <w:p w:rsidR="00587902" w:rsidRDefault="007D1900" w:rsidP="00587902">
            <w:pPr>
              <w:jc w:val="center"/>
              <w:rPr>
                <w:rtl/>
              </w:rPr>
            </w:pPr>
            <w:r>
              <w:t>49.5</w:t>
            </w:r>
          </w:p>
        </w:tc>
        <w:tc>
          <w:tcPr>
            <w:tcW w:w="1417" w:type="dxa"/>
            <w:vAlign w:val="center"/>
          </w:tcPr>
          <w:p w:rsidR="00587902" w:rsidRDefault="007D1900" w:rsidP="00587902">
            <w:pPr>
              <w:jc w:val="center"/>
              <w:rPr>
                <w:rtl/>
              </w:rPr>
            </w:pPr>
            <w:r>
              <w:t>24</w:t>
            </w:r>
          </w:p>
        </w:tc>
        <w:tc>
          <w:tcPr>
            <w:tcW w:w="1985" w:type="dxa"/>
            <w:vAlign w:val="center"/>
          </w:tcPr>
          <w:p w:rsidR="00587902" w:rsidRDefault="007D1900" w:rsidP="00587902">
            <w:pPr>
              <w:jc w:val="center"/>
              <w:rPr>
                <w:rtl/>
              </w:rPr>
            </w:pPr>
            <w:r>
              <w:t>6 followed by 4.3</w:t>
            </w:r>
          </w:p>
        </w:tc>
        <w:tc>
          <w:tcPr>
            <w:tcW w:w="1384" w:type="dxa"/>
            <w:vMerge w:val="restart"/>
            <w:vAlign w:val="center"/>
          </w:tcPr>
          <w:p w:rsidR="00587902" w:rsidRDefault="00587902" w:rsidP="00587902">
            <w:pPr>
              <w:jc w:val="center"/>
            </w:pPr>
            <w:r>
              <w:t>Fourth instar</w:t>
            </w:r>
          </w:p>
          <w:p w:rsidR="00587902" w:rsidRDefault="00587902" w:rsidP="00587902">
            <w:pPr>
              <w:jc w:val="center"/>
            </w:pPr>
            <w:r>
              <w:t>Pre-treated</w:t>
            </w:r>
          </w:p>
          <w:p w:rsidR="00587902" w:rsidRDefault="00587902" w:rsidP="00587902">
            <w:pPr>
              <w:jc w:val="center"/>
              <w:rPr>
                <w:rtl/>
              </w:rPr>
            </w:pPr>
            <w:r>
              <w:t>With (D)</w:t>
            </w:r>
          </w:p>
        </w:tc>
      </w:tr>
      <w:tr w:rsidR="007D1900" w:rsidTr="007D1900">
        <w:tc>
          <w:tcPr>
            <w:tcW w:w="1235" w:type="dxa"/>
            <w:vAlign w:val="center"/>
          </w:tcPr>
          <w:p w:rsidR="00587902" w:rsidRDefault="007D1900" w:rsidP="00587902">
            <w:pPr>
              <w:jc w:val="center"/>
              <w:rPr>
                <w:rtl/>
              </w:rPr>
            </w:pPr>
            <w:r>
              <w:t>+21</w:t>
            </w:r>
          </w:p>
        </w:tc>
        <w:tc>
          <w:tcPr>
            <w:tcW w:w="1417" w:type="dxa"/>
            <w:vAlign w:val="center"/>
          </w:tcPr>
          <w:p w:rsidR="00587902" w:rsidRDefault="007D1900" w:rsidP="00587902">
            <w:pPr>
              <w:jc w:val="center"/>
              <w:rPr>
                <w:rtl/>
              </w:rPr>
            </w:pPr>
            <w:r>
              <w:t>73.4</w:t>
            </w:r>
          </w:p>
        </w:tc>
        <w:tc>
          <w:tcPr>
            <w:tcW w:w="1418" w:type="dxa"/>
            <w:vAlign w:val="center"/>
          </w:tcPr>
          <w:p w:rsidR="00587902" w:rsidRDefault="007D1900" w:rsidP="00587902">
            <w:pPr>
              <w:jc w:val="center"/>
              <w:rPr>
                <w:rtl/>
              </w:rPr>
            </w:pPr>
            <w:r>
              <w:t>60.48</w:t>
            </w:r>
          </w:p>
        </w:tc>
        <w:tc>
          <w:tcPr>
            <w:tcW w:w="1417" w:type="dxa"/>
            <w:vAlign w:val="center"/>
          </w:tcPr>
          <w:p w:rsidR="00587902" w:rsidRDefault="007D1900" w:rsidP="00587902">
            <w:pPr>
              <w:jc w:val="center"/>
              <w:rPr>
                <w:rtl/>
              </w:rPr>
            </w:pPr>
            <w:r>
              <w:t>48</w:t>
            </w:r>
          </w:p>
        </w:tc>
        <w:tc>
          <w:tcPr>
            <w:tcW w:w="1985" w:type="dxa"/>
            <w:vAlign w:val="center"/>
          </w:tcPr>
          <w:p w:rsidR="00587902" w:rsidRDefault="007D1900" w:rsidP="00587902">
            <w:pPr>
              <w:jc w:val="center"/>
              <w:rPr>
                <w:rtl/>
              </w:rPr>
            </w:pPr>
            <w:r>
              <w:t>4.5 followed by 1.5</w:t>
            </w:r>
          </w:p>
        </w:tc>
        <w:tc>
          <w:tcPr>
            <w:tcW w:w="1384" w:type="dxa"/>
            <w:vMerge/>
            <w:vAlign w:val="center"/>
          </w:tcPr>
          <w:p w:rsidR="00587902" w:rsidRDefault="00587902" w:rsidP="00587902">
            <w:pPr>
              <w:jc w:val="center"/>
              <w:rPr>
                <w:rtl/>
              </w:rPr>
            </w:pPr>
          </w:p>
        </w:tc>
      </w:tr>
      <w:tr w:rsidR="007D1900" w:rsidTr="007D1900">
        <w:tc>
          <w:tcPr>
            <w:tcW w:w="1235" w:type="dxa"/>
            <w:vAlign w:val="center"/>
          </w:tcPr>
          <w:p w:rsidR="00587902" w:rsidRDefault="007D1900" w:rsidP="00587902">
            <w:pPr>
              <w:jc w:val="center"/>
              <w:rPr>
                <w:rtl/>
              </w:rPr>
            </w:pPr>
            <w:r>
              <w:t>+15</w:t>
            </w:r>
          </w:p>
        </w:tc>
        <w:tc>
          <w:tcPr>
            <w:tcW w:w="1417" w:type="dxa"/>
            <w:vAlign w:val="center"/>
          </w:tcPr>
          <w:p w:rsidR="00587902" w:rsidRDefault="007D1900" w:rsidP="00587902">
            <w:pPr>
              <w:jc w:val="center"/>
              <w:rPr>
                <w:rtl/>
              </w:rPr>
            </w:pPr>
            <w:r>
              <w:t>75.95</w:t>
            </w:r>
          </w:p>
        </w:tc>
        <w:tc>
          <w:tcPr>
            <w:tcW w:w="1418" w:type="dxa"/>
            <w:vAlign w:val="center"/>
          </w:tcPr>
          <w:p w:rsidR="00587902" w:rsidRDefault="007D1900" w:rsidP="00587902">
            <w:pPr>
              <w:jc w:val="center"/>
              <w:rPr>
                <w:rtl/>
              </w:rPr>
            </w:pPr>
            <w:r>
              <w:t>66.42</w:t>
            </w:r>
          </w:p>
        </w:tc>
        <w:tc>
          <w:tcPr>
            <w:tcW w:w="1417" w:type="dxa"/>
            <w:vAlign w:val="center"/>
          </w:tcPr>
          <w:p w:rsidR="00587902" w:rsidRDefault="007D1900" w:rsidP="00587902">
            <w:pPr>
              <w:jc w:val="center"/>
              <w:rPr>
                <w:rtl/>
              </w:rPr>
            </w:pPr>
            <w:r>
              <w:t>72</w:t>
            </w:r>
          </w:p>
        </w:tc>
        <w:tc>
          <w:tcPr>
            <w:tcW w:w="1985" w:type="dxa"/>
            <w:vAlign w:val="center"/>
          </w:tcPr>
          <w:p w:rsidR="00587902" w:rsidRDefault="007D1900" w:rsidP="00587902">
            <w:pPr>
              <w:jc w:val="center"/>
              <w:rPr>
                <w:rtl/>
              </w:rPr>
            </w:pPr>
            <w:r>
              <w:t>2.6 followed by 0.7</w:t>
            </w:r>
          </w:p>
        </w:tc>
        <w:tc>
          <w:tcPr>
            <w:tcW w:w="1384" w:type="dxa"/>
            <w:vMerge/>
            <w:vAlign w:val="center"/>
          </w:tcPr>
          <w:p w:rsidR="00587902" w:rsidRDefault="00587902" w:rsidP="00587902">
            <w:pPr>
              <w:jc w:val="center"/>
              <w:rPr>
                <w:rtl/>
              </w:rPr>
            </w:pPr>
          </w:p>
        </w:tc>
      </w:tr>
      <w:tr w:rsidR="007D1900" w:rsidTr="007D1900">
        <w:tc>
          <w:tcPr>
            <w:tcW w:w="1235" w:type="dxa"/>
            <w:vAlign w:val="center"/>
          </w:tcPr>
          <w:p w:rsidR="00587902" w:rsidRDefault="007D1900" w:rsidP="00587902">
            <w:pPr>
              <w:jc w:val="center"/>
              <w:rPr>
                <w:rtl/>
              </w:rPr>
            </w:pPr>
            <w:r>
              <w:t>+6</w:t>
            </w:r>
          </w:p>
        </w:tc>
        <w:tc>
          <w:tcPr>
            <w:tcW w:w="1417" w:type="dxa"/>
            <w:vAlign w:val="center"/>
          </w:tcPr>
          <w:p w:rsidR="00587902" w:rsidRDefault="007D1900" w:rsidP="00587902">
            <w:pPr>
              <w:jc w:val="center"/>
              <w:rPr>
                <w:rtl/>
              </w:rPr>
            </w:pPr>
            <w:r>
              <w:t>35.37</w:t>
            </w:r>
          </w:p>
        </w:tc>
        <w:tc>
          <w:tcPr>
            <w:tcW w:w="1418" w:type="dxa"/>
            <w:vAlign w:val="center"/>
          </w:tcPr>
          <w:p w:rsidR="00587902" w:rsidRDefault="007D1900" w:rsidP="00587902">
            <w:pPr>
              <w:jc w:val="center"/>
              <w:rPr>
                <w:rtl/>
              </w:rPr>
            </w:pPr>
            <w:r>
              <w:t>32.89</w:t>
            </w:r>
          </w:p>
        </w:tc>
        <w:tc>
          <w:tcPr>
            <w:tcW w:w="1417" w:type="dxa"/>
            <w:vAlign w:val="center"/>
          </w:tcPr>
          <w:p w:rsidR="00587902" w:rsidRDefault="007D1900" w:rsidP="00587902">
            <w:pPr>
              <w:jc w:val="center"/>
              <w:rPr>
                <w:rtl/>
              </w:rPr>
            </w:pPr>
            <w:r>
              <w:t>24</w:t>
            </w:r>
          </w:p>
        </w:tc>
        <w:tc>
          <w:tcPr>
            <w:tcW w:w="1985" w:type="dxa"/>
            <w:vAlign w:val="center"/>
          </w:tcPr>
          <w:p w:rsidR="00587902" w:rsidRDefault="007D1900" w:rsidP="00587902">
            <w:pPr>
              <w:jc w:val="center"/>
              <w:rPr>
                <w:rtl/>
              </w:rPr>
            </w:pPr>
            <w:r>
              <w:t>0.8 followed by 0.7</w:t>
            </w:r>
          </w:p>
        </w:tc>
        <w:tc>
          <w:tcPr>
            <w:tcW w:w="1384" w:type="dxa"/>
            <w:vMerge w:val="restart"/>
            <w:vAlign w:val="center"/>
          </w:tcPr>
          <w:p w:rsidR="00587902" w:rsidRDefault="00587902" w:rsidP="00587902">
            <w:pPr>
              <w:jc w:val="center"/>
            </w:pPr>
            <w:r>
              <w:t>Second instar</w:t>
            </w:r>
          </w:p>
          <w:p w:rsidR="00587902" w:rsidRDefault="00587902" w:rsidP="00587902">
            <w:pPr>
              <w:jc w:val="center"/>
            </w:pPr>
            <w:r>
              <w:t>Pre-treated</w:t>
            </w:r>
          </w:p>
          <w:p w:rsidR="00587902" w:rsidRDefault="00587902" w:rsidP="00587902">
            <w:pPr>
              <w:jc w:val="center"/>
              <w:rPr>
                <w:rtl/>
              </w:rPr>
            </w:pPr>
            <w:r>
              <w:t>With (H)</w:t>
            </w:r>
          </w:p>
        </w:tc>
      </w:tr>
      <w:tr w:rsidR="007D1900" w:rsidTr="007D1900">
        <w:tc>
          <w:tcPr>
            <w:tcW w:w="1235" w:type="dxa"/>
            <w:vAlign w:val="center"/>
          </w:tcPr>
          <w:p w:rsidR="00587902" w:rsidRDefault="007D1900" w:rsidP="00587902">
            <w:pPr>
              <w:jc w:val="center"/>
              <w:rPr>
                <w:rtl/>
              </w:rPr>
            </w:pPr>
            <w:r>
              <w:t>+5</w:t>
            </w:r>
          </w:p>
        </w:tc>
        <w:tc>
          <w:tcPr>
            <w:tcW w:w="1417" w:type="dxa"/>
            <w:vAlign w:val="center"/>
          </w:tcPr>
          <w:p w:rsidR="00587902" w:rsidRDefault="007D1900" w:rsidP="00587902">
            <w:pPr>
              <w:jc w:val="center"/>
              <w:rPr>
                <w:rtl/>
              </w:rPr>
            </w:pPr>
            <w:r>
              <w:t>45.3</w:t>
            </w:r>
          </w:p>
        </w:tc>
        <w:tc>
          <w:tcPr>
            <w:tcW w:w="1418" w:type="dxa"/>
            <w:vAlign w:val="center"/>
          </w:tcPr>
          <w:p w:rsidR="00587902" w:rsidRDefault="007D1900" w:rsidP="00587902">
            <w:pPr>
              <w:jc w:val="center"/>
              <w:rPr>
                <w:rtl/>
              </w:rPr>
            </w:pPr>
            <w:r>
              <w:t>43.45</w:t>
            </w:r>
          </w:p>
        </w:tc>
        <w:tc>
          <w:tcPr>
            <w:tcW w:w="1417" w:type="dxa"/>
            <w:vAlign w:val="center"/>
          </w:tcPr>
          <w:p w:rsidR="00587902" w:rsidRDefault="007D1900" w:rsidP="00587902">
            <w:pPr>
              <w:jc w:val="center"/>
              <w:rPr>
                <w:rtl/>
              </w:rPr>
            </w:pPr>
            <w:r>
              <w:t>48</w:t>
            </w:r>
          </w:p>
        </w:tc>
        <w:tc>
          <w:tcPr>
            <w:tcW w:w="1985" w:type="dxa"/>
            <w:vAlign w:val="center"/>
          </w:tcPr>
          <w:p w:rsidR="00587902" w:rsidRDefault="007D1900" w:rsidP="00587902">
            <w:pPr>
              <w:jc w:val="center"/>
              <w:rPr>
                <w:rtl/>
              </w:rPr>
            </w:pPr>
            <w:r>
              <w:t>0.38 followed by 0.2</w:t>
            </w:r>
          </w:p>
        </w:tc>
        <w:tc>
          <w:tcPr>
            <w:tcW w:w="1384" w:type="dxa"/>
            <w:vMerge/>
            <w:vAlign w:val="center"/>
          </w:tcPr>
          <w:p w:rsidR="00587902" w:rsidRDefault="00587902" w:rsidP="00587902">
            <w:pPr>
              <w:jc w:val="center"/>
              <w:rPr>
                <w:rtl/>
              </w:rPr>
            </w:pPr>
          </w:p>
        </w:tc>
      </w:tr>
      <w:tr w:rsidR="007D1900" w:rsidTr="007D1900">
        <w:tc>
          <w:tcPr>
            <w:tcW w:w="1235" w:type="dxa"/>
            <w:vAlign w:val="center"/>
          </w:tcPr>
          <w:p w:rsidR="00587902" w:rsidRDefault="007D1900" w:rsidP="00587902">
            <w:pPr>
              <w:jc w:val="center"/>
              <w:rPr>
                <w:rtl/>
              </w:rPr>
            </w:pPr>
            <w:r>
              <w:t>+12</w:t>
            </w:r>
          </w:p>
        </w:tc>
        <w:tc>
          <w:tcPr>
            <w:tcW w:w="1417" w:type="dxa"/>
            <w:vAlign w:val="center"/>
          </w:tcPr>
          <w:p w:rsidR="00587902" w:rsidRDefault="007D1900" w:rsidP="00587902">
            <w:pPr>
              <w:jc w:val="center"/>
              <w:rPr>
                <w:rtl/>
              </w:rPr>
            </w:pPr>
            <w:r>
              <w:t>55.3</w:t>
            </w:r>
          </w:p>
        </w:tc>
        <w:tc>
          <w:tcPr>
            <w:tcW w:w="1418" w:type="dxa"/>
            <w:vAlign w:val="center"/>
          </w:tcPr>
          <w:p w:rsidR="00587902" w:rsidRDefault="007D1900" w:rsidP="00587902">
            <w:pPr>
              <w:jc w:val="center"/>
              <w:rPr>
                <w:rtl/>
              </w:rPr>
            </w:pPr>
            <w:r>
              <w:t>49.5</w:t>
            </w:r>
          </w:p>
        </w:tc>
        <w:tc>
          <w:tcPr>
            <w:tcW w:w="1417" w:type="dxa"/>
            <w:vAlign w:val="center"/>
          </w:tcPr>
          <w:p w:rsidR="00587902" w:rsidRDefault="007D1900" w:rsidP="00587902">
            <w:pPr>
              <w:jc w:val="center"/>
              <w:rPr>
                <w:rtl/>
              </w:rPr>
            </w:pPr>
            <w:r>
              <w:t>72</w:t>
            </w:r>
          </w:p>
        </w:tc>
        <w:tc>
          <w:tcPr>
            <w:tcW w:w="1985" w:type="dxa"/>
            <w:vAlign w:val="center"/>
          </w:tcPr>
          <w:p w:rsidR="00587902" w:rsidRDefault="007D1900" w:rsidP="00587902">
            <w:pPr>
              <w:jc w:val="center"/>
              <w:rPr>
                <w:rtl/>
              </w:rPr>
            </w:pPr>
            <w:r>
              <w:t>0.14 followed by 0.05</w:t>
            </w:r>
          </w:p>
        </w:tc>
        <w:tc>
          <w:tcPr>
            <w:tcW w:w="1384" w:type="dxa"/>
            <w:vMerge/>
            <w:vAlign w:val="center"/>
          </w:tcPr>
          <w:p w:rsidR="00587902" w:rsidRDefault="00587902" w:rsidP="00587902">
            <w:pPr>
              <w:jc w:val="center"/>
              <w:rPr>
                <w:rtl/>
              </w:rPr>
            </w:pPr>
          </w:p>
        </w:tc>
      </w:tr>
      <w:tr w:rsidR="007D1900" w:rsidTr="007D1900">
        <w:tc>
          <w:tcPr>
            <w:tcW w:w="1235" w:type="dxa"/>
            <w:vAlign w:val="center"/>
          </w:tcPr>
          <w:p w:rsidR="00587902" w:rsidRDefault="007D1900" w:rsidP="00587902">
            <w:pPr>
              <w:jc w:val="center"/>
              <w:rPr>
                <w:rtl/>
              </w:rPr>
            </w:pPr>
            <w:r>
              <w:t>+42</w:t>
            </w:r>
          </w:p>
        </w:tc>
        <w:tc>
          <w:tcPr>
            <w:tcW w:w="1417" w:type="dxa"/>
            <w:vAlign w:val="center"/>
          </w:tcPr>
          <w:p w:rsidR="00587902" w:rsidRDefault="007D1900" w:rsidP="00587902">
            <w:pPr>
              <w:jc w:val="center"/>
              <w:rPr>
                <w:rtl/>
              </w:rPr>
            </w:pPr>
            <w:r>
              <w:t>50.57</w:t>
            </w:r>
          </w:p>
        </w:tc>
        <w:tc>
          <w:tcPr>
            <w:tcW w:w="1418" w:type="dxa"/>
            <w:vAlign w:val="center"/>
          </w:tcPr>
          <w:p w:rsidR="00587902" w:rsidRDefault="007D1900" w:rsidP="00587902">
            <w:pPr>
              <w:jc w:val="center"/>
              <w:rPr>
                <w:rtl/>
              </w:rPr>
            </w:pPr>
            <w:r>
              <w:t>35.5</w:t>
            </w:r>
          </w:p>
        </w:tc>
        <w:tc>
          <w:tcPr>
            <w:tcW w:w="1417" w:type="dxa"/>
            <w:vAlign w:val="center"/>
          </w:tcPr>
          <w:p w:rsidR="00587902" w:rsidRDefault="007D1900" w:rsidP="00587902">
            <w:pPr>
              <w:jc w:val="center"/>
              <w:rPr>
                <w:rtl/>
              </w:rPr>
            </w:pPr>
            <w:r>
              <w:t>24</w:t>
            </w:r>
          </w:p>
        </w:tc>
        <w:tc>
          <w:tcPr>
            <w:tcW w:w="1985" w:type="dxa"/>
            <w:vAlign w:val="center"/>
          </w:tcPr>
          <w:p w:rsidR="00587902" w:rsidRDefault="007D1900" w:rsidP="00587902">
            <w:pPr>
              <w:jc w:val="center"/>
              <w:rPr>
                <w:rtl/>
              </w:rPr>
            </w:pPr>
            <w:r>
              <w:t>0.7 followed by 0.8</w:t>
            </w:r>
          </w:p>
        </w:tc>
        <w:tc>
          <w:tcPr>
            <w:tcW w:w="1384" w:type="dxa"/>
            <w:vMerge w:val="restart"/>
            <w:vAlign w:val="center"/>
          </w:tcPr>
          <w:p w:rsidR="00587902" w:rsidRDefault="00587902" w:rsidP="00587902">
            <w:pPr>
              <w:jc w:val="center"/>
            </w:pPr>
            <w:r>
              <w:t>Second instar</w:t>
            </w:r>
          </w:p>
          <w:p w:rsidR="00587902" w:rsidRDefault="00587902" w:rsidP="00587902">
            <w:pPr>
              <w:jc w:val="center"/>
            </w:pPr>
            <w:r>
              <w:t>Pre-treated</w:t>
            </w:r>
          </w:p>
          <w:p w:rsidR="00587902" w:rsidRDefault="00587902" w:rsidP="00587902">
            <w:pPr>
              <w:jc w:val="center"/>
              <w:rPr>
                <w:rtl/>
              </w:rPr>
            </w:pPr>
            <w:r>
              <w:t>With (D)</w:t>
            </w:r>
          </w:p>
        </w:tc>
      </w:tr>
      <w:tr w:rsidR="007D1900" w:rsidTr="007D1900">
        <w:tc>
          <w:tcPr>
            <w:tcW w:w="1235" w:type="dxa"/>
            <w:vAlign w:val="center"/>
          </w:tcPr>
          <w:p w:rsidR="00587902" w:rsidRDefault="007D1900" w:rsidP="00587902">
            <w:pPr>
              <w:jc w:val="center"/>
              <w:rPr>
                <w:rtl/>
              </w:rPr>
            </w:pPr>
            <w:r>
              <w:t>+24</w:t>
            </w:r>
          </w:p>
        </w:tc>
        <w:tc>
          <w:tcPr>
            <w:tcW w:w="1417" w:type="dxa"/>
            <w:vAlign w:val="center"/>
          </w:tcPr>
          <w:p w:rsidR="00587902" w:rsidRDefault="007D1900" w:rsidP="00587902">
            <w:pPr>
              <w:jc w:val="center"/>
              <w:rPr>
                <w:rtl/>
              </w:rPr>
            </w:pPr>
            <w:r>
              <w:t>67.8</w:t>
            </w:r>
          </w:p>
        </w:tc>
        <w:tc>
          <w:tcPr>
            <w:tcW w:w="1418" w:type="dxa"/>
            <w:vAlign w:val="center"/>
          </w:tcPr>
          <w:p w:rsidR="00587902" w:rsidRDefault="007D1900" w:rsidP="00587902">
            <w:pPr>
              <w:jc w:val="center"/>
              <w:rPr>
                <w:rtl/>
              </w:rPr>
            </w:pPr>
            <w:r>
              <w:t>55.3</w:t>
            </w:r>
          </w:p>
        </w:tc>
        <w:tc>
          <w:tcPr>
            <w:tcW w:w="1417" w:type="dxa"/>
            <w:vAlign w:val="center"/>
          </w:tcPr>
          <w:p w:rsidR="00587902" w:rsidRDefault="007D1900" w:rsidP="00587902">
            <w:pPr>
              <w:jc w:val="center"/>
              <w:rPr>
                <w:rtl/>
              </w:rPr>
            </w:pPr>
            <w:r>
              <w:t>48</w:t>
            </w:r>
          </w:p>
        </w:tc>
        <w:tc>
          <w:tcPr>
            <w:tcW w:w="1985" w:type="dxa"/>
            <w:vAlign w:val="center"/>
          </w:tcPr>
          <w:p w:rsidR="00587902" w:rsidRDefault="007D1900" w:rsidP="00587902">
            <w:pPr>
              <w:jc w:val="center"/>
              <w:rPr>
                <w:rtl/>
              </w:rPr>
            </w:pPr>
            <w:r>
              <w:t>0.2 followed by 0.38</w:t>
            </w:r>
          </w:p>
        </w:tc>
        <w:tc>
          <w:tcPr>
            <w:tcW w:w="1384" w:type="dxa"/>
            <w:vMerge/>
            <w:vAlign w:val="center"/>
          </w:tcPr>
          <w:p w:rsidR="00587902" w:rsidRDefault="00587902" w:rsidP="00587902">
            <w:pPr>
              <w:jc w:val="center"/>
              <w:rPr>
                <w:rtl/>
              </w:rPr>
            </w:pPr>
          </w:p>
        </w:tc>
      </w:tr>
      <w:tr w:rsidR="007D1900" w:rsidTr="007D1900">
        <w:tc>
          <w:tcPr>
            <w:tcW w:w="1235" w:type="dxa"/>
            <w:vAlign w:val="center"/>
          </w:tcPr>
          <w:p w:rsidR="00587902" w:rsidRDefault="007D1900" w:rsidP="00587902">
            <w:pPr>
              <w:jc w:val="center"/>
              <w:rPr>
                <w:rtl/>
              </w:rPr>
            </w:pPr>
            <w:r>
              <w:t>+32</w:t>
            </w:r>
          </w:p>
        </w:tc>
        <w:tc>
          <w:tcPr>
            <w:tcW w:w="1417" w:type="dxa"/>
            <w:vAlign w:val="center"/>
          </w:tcPr>
          <w:p w:rsidR="00587902" w:rsidRDefault="00DD1B10" w:rsidP="00587902">
            <w:pPr>
              <w:jc w:val="center"/>
              <w:rPr>
                <w:rtl/>
              </w:rPr>
            </w:pPr>
            <w:r>
              <w:t>78.53</w:t>
            </w:r>
          </w:p>
        </w:tc>
        <w:tc>
          <w:tcPr>
            <w:tcW w:w="1418" w:type="dxa"/>
            <w:vAlign w:val="center"/>
          </w:tcPr>
          <w:p w:rsidR="00587902" w:rsidRDefault="007D1900" w:rsidP="00587902">
            <w:pPr>
              <w:jc w:val="center"/>
              <w:rPr>
                <w:rtl/>
              </w:rPr>
            </w:pPr>
            <w:r>
              <w:t>59.5</w:t>
            </w:r>
          </w:p>
        </w:tc>
        <w:tc>
          <w:tcPr>
            <w:tcW w:w="1417" w:type="dxa"/>
            <w:vAlign w:val="center"/>
          </w:tcPr>
          <w:p w:rsidR="00587902" w:rsidRDefault="007D1900" w:rsidP="00587902">
            <w:pPr>
              <w:jc w:val="center"/>
              <w:rPr>
                <w:rtl/>
              </w:rPr>
            </w:pPr>
            <w:r>
              <w:t>72</w:t>
            </w:r>
          </w:p>
        </w:tc>
        <w:tc>
          <w:tcPr>
            <w:tcW w:w="1985" w:type="dxa"/>
            <w:vAlign w:val="center"/>
          </w:tcPr>
          <w:p w:rsidR="00587902" w:rsidRDefault="007D1900" w:rsidP="00587902">
            <w:pPr>
              <w:jc w:val="center"/>
              <w:rPr>
                <w:rtl/>
              </w:rPr>
            </w:pPr>
            <w:r>
              <w:t>0.05 followed by 0.14</w:t>
            </w:r>
          </w:p>
        </w:tc>
        <w:tc>
          <w:tcPr>
            <w:tcW w:w="1384" w:type="dxa"/>
            <w:vMerge/>
            <w:vAlign w:val="center"/>
          </w:tcPr>
          <w:p w:rsidR="00587902" w:rsidRDefault="00587902" w:rsidP="00587902">
            <w:pPr>
              <w:jc w:val="center"/>
              <w:rPr>
                <w:rtl/>
              </w:rPr>
            </w:pPr>
          </w:p>
        </w:tc>
      </w:tr>
    </w:tbl>
    <w:p w:rsidR="00ED5069" w:rsidRPr="0062476C" w:rsidRDefault="00ED5069"/>
    <w:p w:rsidR="00DD1B10" w:rsidRDefault="00DD1B10" w:rsidP="00A75978">
      <w:pPr>
        <w:pStyle w:val="Heading1"/>
        <w:jc w:val="center"/>
        <w:rPr>
          <w:rFonts w:eastAsia="Times New Roman" w:cs="Traditional Arabic"/>
          <w:sz w:val="20"/>
          <w:szCs w:val="24"/>
        </w:rPr>
      </w:pPr>
      <w:r>
        <w:rPr>
          <w:rFonts w:eastAsia="Times New Roman" w:cs="Traditional Arabic"/>
          <w:sz w:val="20"/>
          <w:szCs w:val="24"/>
        </w:rPr>
        <w:t>Table (7): The combined effect of hematoporphyrin (H) and dimilin (D) against C. pipiens larvae when used for prolonged time of exposure (4 days for fourth instar and 9 days for second instar).</w:t>
      </w:r>
    </w:p>
    <w:p w:rsidR="00DD1B10" w:rsidRPr="00DD1B10" w:rsidRDefault="00DD1B10" w:rsidP="00DD1B10"/>
    <w:tbl>
      <w:tblPr>
        <w:tblStyle w:val="TableGrid"/>
        <w:bidiVisual/>
        <w:tblW w:w="0" w:type="auto"/>
        <w:tblLook w:val="04A0"/>
      </w:tblPr>
      <w:tblGrid>
        <w:gridCol w:w="1771"/>
        <w:gridCol w:w="1771"/>
        <w:gridCol w:w="1771"/>
        <w:gridCol w:w="1771"/>
        <w:gridCol w:w="1772"/>
      </w:tblGrid>
      <w:tr w:rsidR="00DD1B10" w:rsidTr="00DD1B10">
        <w:tc>
          <w:tcPr>
            <w:tcW w:w="1771" w:type="dxa"/>
            <w:vMerge w:val="restart"/>
            <w:vAlign w:val="center"/>
          </w:tcPr>
          <w:p w:rsidR="00DD1B10" w:rsidRDefault="00DD1B10" w:rsidP="00DD1B10">
            <w:pPr>
              <w:jc w:val="center"/>
            </w:pPr>
            <w:r>
              <w:t>Co</w:t>
            </w:r>
          </w:p>
          <w:p w:rsidR="00DD1B10" w:rsidRDefault="00DD1B10" w:rsidP="00DD1B10">
            <w:pPr>
              <w:jc w:val="center"/>
            </w:pPr>
            <w:r>
              <w:t>Toxicity</w:t>
            </w:r>
          </w:p>
          <w:p w:rsidR="00DD1B10" w:rsidRDefault="00DD1B10" w:rsidP="00DD1B10">
            <w:pPr>
              <w:jc w:val="center"/>
              <w:rPr>
                <w:rtl/>
              </w:rPr>
            </w:pPr>
            <w:r>
              <w:t>factor</w:t>
            </w:r>
          </w:p>
        </w:tc>
        <w:tc>
          <w:tcPr>
            <w:tcW w:w="3542" w:type="dxa"/>
            <w:gridSpan w:val="2"/>
            <w:vAlign w:val="center"/>
          </w:tcPr>
          <w:p w:rsidR="00DD1B10" w:rsidRDefault="00DD1B10" w:rsidP="00DD1B10">
            <w:pPr>
              <w:jc w:val="center"/>
            </w:pPr>
            <w:r>
              <w:t>Averages of mortality</w:t>
            </w:r>
          </w:p>
          <w:p w:rsidR="00DD1B10" w:rsidRDefault="00DD1B10" w:rsidP="00DD1B10">
            <w:pPr>
              <w:jc w:val="center"/>
              <w:rPr>
                <w:rtl/>
              </w:rPr>
            </w:pPr>
            <w:r>
              <w:t>%</w:t>
            </w:r>
          </w:p>
        </w:tc>
        <w:tc>
          <w:tcPr>
            <w:tcW w:w="1771" w:type="dxa"/>
            <w:vAlign w:val="center"/>
          </w:tcPr>
          <w:p w:rsidR="00DD1B10" w:rsidRDefault="00DD1B10" w:rsidP="00DD1B10">
            <w:pPr>
              <w:jc w:val="center"/>
            </w:pPr>
            <w:r>
              <w:t>Concentrations</w:t>
            </w:r>
          </w:p>
          <w:p w:rsidR="00DD1B10" w:rsidRDefault="00DD1B10" w:rsidP="00DD1B10">
            <w:pPr>
              <w:jc w:val="center"/>
              <w:rPr>
                <w:rtl/>
              </w:rPr>
            </w:pPr>
            <w:r>
              <w:t>Used at LC</w:t>
            </w:r>
            <w:r>
              <w:rPr>
                <w:vertAlign w:val="subscript"/>
              </w:rPr>
              <w:t>25</w:t>
            </w:r>
          </w:p>
        </w:tc>
        <w:tc>
          <w:tcPr>
            <w:tcW w:w="1772" w:type="dxa"/>
            <w:vMerge w:val="restart"/>
            <w:vAlign w:val="center"/>
          </w:tcPr>
          <w:p w:rsidR="00DD1B10" w:rsidRDefault="00DD1B10" w:rsidP="00DD1B10">
            <w:pPr>
              <w:jc w:val="center"/>
              <w:rPr>
                <w:rtl/>
              </w:rPr>
            </w:pPr>
            <w:r>
              <w:t>Larval instar</w:t>
            </w:r>
          </w:p>
        </w:tc>
      </w:tr>
      <w:tr w:rsidR="00DD1B10" w:rsidTr="00DD1B10">
        <w:tc>
          <w:tcPr>
            <w:tcW w:w="1771" w:type="dxa"/>
            <w:vMerge/>
            <w:vAlign w:val="center"/>
          </w:tcPr>
          <w:p w:rsidR="00DD1B10" w:rsidRDefault="00DD1B10" w:rsidP="00DD1B10">
            <w:pPr>
              <w:jc w:val="center"/>
              <w:rPr>
                <w:rtl/>
              </w:rPr>
            </w:pPr>
          </w:p>
        </w:tc>
        <w:tc>
          <w:tcPr>
            <w:tcW w:w="1771" w:type="dxa"/>
            <w:vAlign w:val="center"/>
          </w:tcPr>
          <w:p w:rsidR="00DD1B10" w:rsidRDefault="00DD1B10" w:rsidP="00DD1B10">
            <w:pPr>
              <w:jc w:val="center"/>
              <w:rPr>
                <w:rtl/>
              </w:rPr>
            </w:pPr>
            <w:r>
              <w:t>Observed</w:t>
            </w:r>
          </w:p>
        </w:tc>
        <w:tc>
          <w:tcPr>
            <w:tcW w:w="1771" w:type="dxa"/>
            <w:vAlign w:val="center"/>
          </w:tcPr>
          <w:p w:rsidR="00DD1B10" w:rsidRDefault="00DD1B10" w:rsidP="00DD1B10">
            <w:pPr>
              <w:jc w:val="center"/>
              <w:rPr>
                <w:rtl/>
              </w:rPr>
            </w:pPr>
            <w:r>
              <w:t>Expected</w:t>
            </w:r>
          </w:p>
        </w:tc>
        <w:tc>
          <w:tcPr>
            <w:tcW w:w="1771" w:type="dxa"/>
            <w:vAlign w:val="center"/>
          </w:tcPr>
          <w:p w:rsidR="00DD1B10" w:rsidRDefault="00DD1B10" w:rsidP="00DD1B10">
            <w:pPr>
              <w:jc w:val="center"/>
            </w:pPr>
            <w:r>
              <w:t>H          +       D</w:t>
            </w:r>
          </w:p>
          <w:p w:rsidR="00DD1B10" w:rsidRDefault="00DD1B10" w:rsidP="00DD1B10">
            <w:pPr>
              <w:jc w:val="center"/>
              <w:rPr>
                <w:rtl/>
              </w:rPr>
            </w:pPr>
            <w:r>
              <w:t>(mM/ml)+(ppm)</w:t>
            </w:r>
          </w:p>
        </w:tc>
        <w:tc>
          <w:tcPr>
            <w:tcW w:w="1772" w:type="dxa"/>
            <w:vMerge/>
            <w:vAlign w:val="center"/>
          </w:tcPr>
          <w:p w:rsidR="00DD1B10" w:rsidRDefault="00DD1B10" w:rsidP="00DD1B10">
            <w:pPr>
              <w:jc w:val="center"/>
              <w:rPr>
                <w:rtl/>
              </w:rPr>
            </w:pPr>
          </w:p>
        </w:tc>
      </w:tr>
      <w:tr w:rsidR="00DD1B10" w:rsidTr="00DD1B10">
        <w:tc>
          <w:tcPr>
            <w:tcW w:w="1771" w:type="dxa"/>
            <w:vAlign w:val="center"/>
          </w:tcPr>
          <w:p w:rsidR="00DD1B10" w:rsidRDefault="00DD1B10" w:rsidP="00DD1B10">
            <w:pPr>
              <w:jc w:val="center"/>
              <w:rPr>
                <w:rtl/>
              </w:rPr>
            </w:pPr>
            <w:r>
              <w:t>+10</w:t>
            </w:r>
          </w:p>
        </w:tc>
        <w:tc>
          <w:tcPr>
            <w:tcW w:w="1771" w:type="dxa"/>
            <w:vAlign w:val="center"/>
          </w:tcPr>
          <w:p w:rsidR="00DD1B10" w:rsidRDefault="00DD1B10" w:rsidP="00DD1B10">
            <w:pPr>
              <w:jc w:val="center"/>
              <w:rPr>
                <w:rtl/>
              </w:rPr>
            </w:pPr>
            <w:r>
              <w:t>94.5</w:t>
            </w:r>
          </w:p>
        </w:tc>
        <w:tc>
          <w:tcPr>
            <w:tcW w:w="1771" w:type="dxa"/>
            <w:vAlign w:val="center"/>
          </w:tcPr>
          <w:p w:rsidR="00DD1B10" w:rsidRDefault="00DD1B10" w:rsidP="00DD1B10">
            <w:pPr>
              <w:jc w:val="center"/>
              <w:rPr>
                <w:rtl/>
              </w:rPr>
            </w:pPr>
            <w:r>
              <w:t>85.76</w:t>
            </w:r>
          </w:p>
        </w:tc>
        <w:tc>
          <w:tcPr>
            <w:tcW w:w="1771" w:type="dxa"/>
            <w:vAlign w:val="center"/>
          </w:tcPr>
          <w:p w:rsidR="00DD1B10" w:rsidRDefault="00DD1B10" w:rsidP="00DD1B10">
            <w:pPr>
              <w:jc w:val="center"/>
              <w:rPr>
                <w:rtl/>
              </w:rPr>
            </w:pPr>
            <w:r>
              <w:t>0.7           +     2.6</w:t>
            </w:r>
          </w:p>
        </w:tc>
        <w:tc>
          <w:tcPr>
            <w:tcW w:w="1772" w:type="dxa"/>
            <w:vAlign w:val="center"/>
          </w:tcPr>
          <w:p w:rsidR="00DD1B10" w:rsidRDefault="00DD1B10" w:rsidP="00DD1B10">
            <w:pPr>
              <w:jc w:val="center"/>
              <w:rPr>
                <w:rtl/>
              </w:rPr>
            </w:pPr>
            <w:r>
              <w:t>Fourth instar</w:t>
            </w:r>
          </w:p>
        </w:tc>
      </w:tr>
      <w:tr w:rsidR="00DD1B10" w:rsidTr="00DD1B10">
        <w:tc>
          <w:tcPr>
            <w:tcW w:w="1771" w:type="dxa"/>
            <w:vAlign w:val="center"/>
          </w:tcPr>
          <w:p w:rsidR="00DD1B10" w:rsidRDefault="00DD1B10" w:rsidP="00DD1B10">
            <w:pPr>
              <w:jc w:val="center"/>
              <w:rPr>
                <w:rtl/>
              </w:rPr>
            </w:pPr>
            <w:r>
              <w:t>+9</w:t>
            </w:r>
          </w:p>
        </w:tc>
        <w:tc>
          <w:tcPr>
            <w:tcW w:w="1771" w:type="dxa"/>
            <w:vAlign w:val="center"/>
          </w:tcPr>
          <w:p w:rsidR="00DD1B10" w:rsidRDefault="00DD1B10" w:rsidP="00DD1B10">
            <w:pPr>
              <w:jc w:val="center"/>
              <w:rPr>
                <w:rtl/>
              </w:rPr>
            </w:pPr>
            <w:r>
              <w:t>100</w:t>
            </w:r>
          </w:p>
        </w:tc>
        <w:tc>
          <w:tcPr>
            <w:tcW w:w="1771" w:type="dxa"/>
            <w:vAlign w:val="center"/>
          </w:tcPr>
          <w:p w:rsidR="00DD1B10" w:rsidRDefault="00DD1B10" w:rsidP="00DD1B10">
            <w:pPr>
              <w:jc w:val="center"/>
              <w:rPr>
                <w:rtl/>
              </w:rPr>
            </w:pPr>
            <w:r>
              <w:t>92.45</w:t>
            </w:r>
          </w:p>
        </w:tc>
        <w:tc>
          <w:tcPr>
            <w:tcW w:w="1771" w:type="dxa"/>
            <w:vAlign w:val="center"/>
          </w:tcPr>
          <w:p w:rsidR="00DD1B10" w:rsidRDefault="00DD1B10" w:rsidP="00DD1B10">
            <w:pPr>
              <w:jc w:val="center"/>
              <w:rPr>
                <w:rtl/>
              </w:rPr>
            </w:pPr>
            <w:r>
              <w:t xml:space="preserve">0.1    </w:t>
            </w:r>
            <w:r w:rsidR="00C43D64">
              <w:t xml:space="preserve">   </w:t>
            </w:r>
            <w:r>
              <w:t xml:space="preserve"> </w:t>
            </w:r>
            <w:r w:rsidR="00C43D64">
              <w:t xml:space="preserve">+  </w:t>
            </w:r>
            <w:r>
              <w:t xml:space="preserve">   0.05 </w:t>
            </w:r>
          </w:p>
        </w:tc>
        <w:tc>
          <w:tcPr>
            <w:tcW w:w="1772" w:type="dxa"/>
            <w:vAlign w:val="center"/>
          </w:tcPr>
          <w:p w:rsidR="00DD1B10" w:rsidRDefault="00DD1B10" w:rsidP="00DD1B10">
            <w:pPr>
              <w:jc w:val="center"/>
              <w:rPr>
                <w:rtl/>
              </w:rPr>
            </w:pPr>
            <w:r>
              <w:t>Second instar</w:t>
            </w:r>
          </w:p>
        </w:tc>
      </w:tr>
    </w:tbl>
    <w:p w:rsidR="00C43D64" w:rsidRDefault="00C43D64" w:rsidP="00C43D64"/>
    <w:p w:rsidR="00AD7FE0" w:rsidRDefault="00AD7FE0" w:rsidP="00596C36">
      <w:r>
        <w:rPr>
          <w:noProof/>
        </w:rPr>
        <w:lastRenderedPageBreak/>
        <w:drawing>
          <wp:inline distT="0" distB="0" distL="0" distR="0">
            <wp:extent cx="5553075" cy="2019300"/>
            <wp:effectExtent l="1905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96C36" w:rsidRPr="00AD7FE0" w:rsidRDefault="00596C36" w:rsidP="00596C36">
      <w:pPr>
        <w:bidi w:val="0"/>
      </w:pPr>
      <w:r>
        <w:t>Fig (1): Comparative susceptibility of the 4</w:t>
      </w:r>
      <w:r>
        <w:rPr>
          <w:vertAlign w:val="superscript"/>
        </w:rPr>
        <w:t>th</w:t>
      </w:r>
      <w:r>
        <w:t xml:space="preserve"> instar of </w:t>
      </w:r>
      <w:r>
        <w:rPr>
          <w:i/>
          <w:iCs/>
        </w:rPr>
        <w:t>C. pipiens</w:t>
      </w:r>
      <w:r>
        <w:t xml:space="preserve"> to hematoporphyrin at different times after irradiation with UV light (LC</w:t>
      </w:r>
      <w:r>
        <w:rPr>
          <w:vertAlign w:val="subscript"/>
        </w:rPr>
        <w:t>50</w:t>
      </w:r>
      <w:r>
        <w:t>)</w:t>
      </w:r>
    </w:p>
    <w:p w:rsidR="00596C36" w:rsidRPr="00596C36" w:rsidRDefault="00596C36" w:rsidP="00596C36"/>
    <w:p w:rsidR="00596C36" w:rsidRDefault="00B16B07" w:rsidP="00596C36">
      <w:pPr>
        <w:bidi w:val="0"/>
        <w:rPr>
          <w:rFonts w:ascii="Arial" w:hAnsi="Arial" w:cs="Arial"/>
          <w:szCs w:val="20"/>
        </w:rPr>
      </w:pPr>
      <w:r>
        <w:rPr>
          <w:noProof/>
        </w:rPr>
        <w:drawing>
          <wp:inline distT="0" distB="0" distL="0" distR="0">
            <wp:extent cx="4829175" cy="1828800"/>
            <wp:effectExtent l="1905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C4037" w:rsidRDefault="00596C36" w:rsidP="003C4037">
      <w:pPr>
        <w:bidi w:val="0"/>
        <w:rPr>
          <w:rFonts w:asciiTheme="minorBidi" w:hAnsiTheme="minorBidi" w:cstheme="minorBidi"/>
          <w:szCs w:val="20"/>
        </w:rPr>
      </w:pPr>
      <w:r w:rsidRPr="00AD7FE0">
        <w:rPr>
          <w:rFonts w:ascii="Arial" w:hAnsi="Arial" w:cs="Arial"/>
          <w:szCs w:val="20"/>
        </w:rPr>
        <w:t>Fig (2):</w:t>
      </w:r>
      <w:r>
        <w:rPr>
          <w:rFonts w:ascii="Arial" w:hAnsi="Arial" w:cs="Arial"/>
          <w:szCs w:val="20"/>
        </w:rPr>
        <w:t xml:space="preserve"> </w:t>
      </w:r>
      <w:r w:rsidRPr="00AD7FE0">
        <w:rPr>
          <w:rFonts w:asciiTheme="minorBidi" w:hAnsiTheme="minorBidi" w:cstheme="minorBidi"/>
          <w:szCs w:val="20"/>
        </w:rPr>
        <w:t xml:space="preserve">Comparative susceptibility of the </w:t>
      </w:r>
      <w:r>
        <w:rPr>
          <w:rFonts w:asciiTheme="minorBidi" w:hAnsiTheme="minorBidi" w:cstheme="minorBidi"/>
          <w:szCs w:val="20"/>
        </w:rPr>
        <w:t>2</w:t>
      </w:r>
      <w:r>
        <w:rPr>
          <w:rFonts w:asciiTheme="minorBidi" w:hAnsiTheme="minorBidi" w:cstheme="minorBidi"/>
          <w:szCs w:val="20"/>
          <w:vertAlign w:val="superscript"/>
        </w:rPr>
        <w:t>nd</w:t>
      </w:r>
      <w:r w:rsidRPr="00AD7FE0">
        <w:rPr>
          <w:rFonts w:asciiTheme="minorBidi" w:hAnsiTheme="minorBidi" w:cstheme="minorBidi"/>
          <w:szCs w:val="20"/>
        </w:rPr>
        <w:t xml:space="preserve"> instar of </w:t>
      </w:r>
      <w:r w:rsidRPr="00AD7FE0">
        <w:rPr>
          <w:rFonts w:asciiTheme="minorBidi" w:hAnsiTheme="minorBidi" w:cstheme="minorBidi"/>
          <w:i/>
          <w:iCs/>
          <w:szCs w:val="20"/>
        </w:rPr>
        <w:t>C. pipiens</w:t>
      </w:r>
      <w:r w:rsidRPr="00AD7FE0">
        <w:rPr>
          <w:rFonts w:asciiTheme="minorBidi" w:hAnsiTheme="minorBidi" w:cstheme="minorBidi"/>
          <w:szCs w:val="20"/>
        </w:rPr>
        <w:t xml:space="preserve"> to hematoporphyrin at different times after irradiation with UV light (LC</w:t>
      </w:r>
      <w:r w:rsidR="00B16B07">
        <w:rPr>
          <w:rFonts w:ascii="Arial" w:hAnsi="Arial" w:cs="Arial"/>
          <w:b/>
          <w:bCs/>
          <w:noProof/>
          <w:szCs w:val="20"/>
        </w:rPr>
        <w:drawing>
          <wp:inline distT="0" distB="0" distL="0" distR="0">
            <wp:extent cx="4829175" cy="1743075"/>
            <wp:effectExtent l="1905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C4037" w:rsidRDefault="003C4037" w:rsidP="003C4037">
      <w:pPr>
        <w:bidi w:val="0"/>
        <w:rPr>
          <w:rFonts w:ascii="Arial" w:hAnsi="Arial" w:cs="Arial"/>
          <w:szCs w:val="20"/>
        </w:rPr>
      </w:pPr>
      <w:r>
        <w:rPr>
          <w:rFonts w:ascii="Arial" w:hAnsi="Arial" w:cs="Arial"/>
          <w:szCs w:val="20"/>
        </w:rPr>
        <w:t>fig (3): Biological activity of dimilin against the 4</w:t>
      </w:r>
      <w:r>
        <w:rPr>
          <w:rFonts w:ascii="Arial" w:hAnsi="Arial" w:cs="Arial"/>
          <w:szCs w:val="20"/>
          <w:vertAlign w:val="superscript"/>
        </w:rPr>
        <w:t>th</w:t>
      </w:r>
      <w:r>
        <w:rPr>
          <w:rFonts w:ascii="Arial" w:hAnsi="Arial" w:cs="Arial"/>
          <w:szCs w:val="20"/>
        </w:rPr>
        <w:t xml:space="preserve"> larval instar of </w:t>
      </w:r>
      <w:r>
        <w:rPr>
          <w:rFonts w:ascii="Arial" w:hAnsi="Arial" w:cs="Arial"/>
          <w:i/>
          <w:iCs/>
          <w:szCs w:val="20"/>
        </w:rPr>
        <w:t>C. pipiens</w:t>
      </w:r>
      <w:r>
        <w:rPr>
          <w:rFonts w:ascii="Arial" w:hAnsi="Arial" w:cs="Arial"/>
          <w:szCs w:val="20"/>
        </w:rPr>
        <w:t>at at different time of exposure</w:t>
      </w:r>
    </w:p>
    <w:p w:rsidR="00DA5DCD" w:rsidRDefault="00DA5DCD" w:rsidP="003C4037">
      <w:pPr>
        <w:bidi w:val="0"/>
        <w:rPr>
          <w:rFonts w:asciiTheme="minorBidi" w:hAnsiTheme="minorBidi" w:cstheme="minorBidi"/>
          <w:szCs w:val="20"/>
        </w:rPr>
      </w:pPr>
      <w:r>
        <w:rPr>
          <w:rFonts w:ascii="Arial" w:hAnsi="Arial" w:cs="Arial"/>
          <w:b/>
          <w:bCs/>
          <w:noProof/>
          <w:szCs w:val="20"/>
        </w:rPr>
        <w:lastRenderedPageBreak/>
        <w:drawing>
          <wp:inline distT="0" distB="0" distL="0" distR="0">
            <wp:extent cx="4781550" cy="196215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C4037" w:rsidRDefault="003C4037" w:rsidP="003C4037">
      <w:pPr>
        <w:bidi w:val="0"/>
        <w:rPr>
          <w:rFonts w:ascii="Arial" w:hAnsi="Arial" w:cs="Arial"/>
          <w:szCs w:val="20"/>
        </w:rPr>
      </w:pPr>
      <w:r>
        <w:rPr>
          <w:rFonts w:ascii="Arial" w:hAnsi="Arial" w:cs="Arial"/>
          <w:szCs w:val="20"/>
        </w:rPr>
        <w:t>fig (4): Biological activity of dimilin against the 2</w:t>
      </w:r>
      <w:r>
        <w:rPr>
          <w:rFonts w:ascii="Arial" w:hAnsi="Arial" w:cs="Arial"/>
          <w:szCs w:val="20"/>
          <w:vertAlign w:val="superscript"/>
        </w:rPr>
        <w:t>nd</w:t>
      </w:r>
      <w:r>
        <w:rPr>
          <w:rFonts w:ascii="Arial" w:hAnsi="Arial" w:cs="Arial"/>
          <w:szCs w:val="20"/>
        </w:rPr>
        <w:t xml:space="preserve"> larval instar of </w:t>
      </w:r>
      <w:r>
        <w:rPr>
          <w:rFonts w:ascii="Arial" w:hAnsi="Arial" w:cs="Arial"/>
          <w:i/>
          <w:iCs/>
          <w:szCs w:val="20"/>
        </w:rPr>
        <w:t>C. pipiens</w:t>
      </w:r>
      <w:r>
        <w:rPr>
          <w:rFonts w:ascii="Arial" w:hAnsi="Arial" w:cs="Arial"/>
          <w:szCs w:val="20"/>
        </w:rPr>
        <w:t>at at different time of exposure</w:t>
      </w:r>
    </w:p>
    <w:p w:rsidR="003C4037" w:rsidRPr="003C4037" w:rsidRDefault="003C4037" w:rsidP="003C4037">
      <w:pPr>
        <w:bidi w:val="0"/>
        <w:rPr>
          <w:rFonts w:asciiTheme="minorBidi" w:hAnsiTheme="minorBidi" w:cstheme="minorBidi"/>
          <w:szCs w:val="20"/>
        </w:rPr>
      </w:pPr>
    </w:p>
    <w:p w:rsidR="00DA5DCD" w:rsidRDefault="00DA5DCD" w:rsidP="00A75978">
      <w:pPr>
        <w:pStyle w:val="Heading1"/>
        <w:jc w:val="center"/>
        <w:rPr>
          <w:rFonts w:ascii="Arial" w:hAnsi="Arial" w:cs="Arial"/>
          <w:b/>
          <w:bCs/>
          <w:sz w:val="20"/>
          <w:szCs w:val="20"/>
        </w:rPr>
      </w:pPr>
      <w:r>
        <w:rPr>
          <w:rFonts w:ascii="Arial" w:hAnsi="Arial" w:cs="Arial"/>
          <w:b/>
          <w:bCs/>
          <w:noProof/>
          <w:sz w:val="20"/>
          <w:szCs w:val="20"/>
        </w:rPr>
        <w:drawing>
          <wp:inline distT="0" distB="0" distL="0" distR="0">
            <wp:extent cx="4724400" cy="1838325"/>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3ABF" w:rsidRPr="003C4037" w:rsidRDefault="003C4037" w:rsidP="00A75978">
      <w:pPr>
        <w:pStyle w:val="Heading1"/>
        <w:jc w:val="center"/>
        <w:rPr>
          <w:rFonts w:ascii="Arial" w:hAnsi="Arial" w:cs="Arial"/>
          <w:sz w:val="20"/>
          <w:szCs w:val="20"/>
        </w:rPr>
      </w:pPr>
      <w:r>
        <w:rPr>
          <w:rFonts w:ascii="Arial" w:hAnsi="Arial" w:cs="Arial"/>
          <w:sz w:val="20"/>
          <w:szCs w:val="20"/>
        </w:rPr>
        <w:t>Fig (5): The combined effect of hematoporphyin and dimilin against the 4</w:t>
      </w:r>
      <w:r>
        <w:rPr>
          <w:rFonts w:ascii="Arial" w:hAnsi="Arial" w:cs="Arial"/>
          <w:sz w:val="20"/>
          <w:szCs w:val="20"/>
          <w:vertAlign w:val="superscript"/>
        </w:rPr>
        <w:t>th</w:t>
      </w:r>
      <w:r>
        <w:rPr>
          <w:rFonts w:ascii="Arial" w:hAnsi="Arial" w:cs="Arial"/>
          <w:sz w:val="20"/>
          <w:szCs w:val="20"/>
        </w:rPr>
        <w:t xml:space="preserve"> and the 2</w:t>
      </w:r>
      <w:r>
        <w:rPr>
          <w:rFonts w:ascii="Arial" w:hAnsi="Arial" w:cs="Arial"/>
          <w:sz w:val="20"/>
          <w:szCs w:val="20"/>
          <w:vertAlign w:val="superscript"/>
        </w:rPr>
        <w:t>nd</w:t>
      </w:r>
      <w:r>
        <w:rPr>
          <w:rFonts w:ascii="Arial" w:hAnsi="Arial" w:cs="Arial"/>
          <w:sz w:val="20"/>
          <w:szCs w:val="20"/>
        </w:rPr>
        <w:t xml:space="preserve"> larval instars of </w:t>
      </w:r>
      <w:r>
        <w:rPr>
          <w:rFonts w:ascii="Arial" w:hAnsi="Arial" w:cs="Arial"/>
          <w:i/>
          <w:iCs/>
          <w:sz w:val="20"/>
          <w:szCs w:val="20"/>
        </w:rPr>
        <w:t>C. pipiens</w:t>
      </w:r>
      <w:r>
        <w:rPr>
          <w:rFonts w:ascii="Arial" w:hAnsi="Arial" w:cs="Arial"/>
          <w:sz w:val="20"/>
          <w:szCs w:val="20"/>
        </w:rPr>
        <w:t>larvae when simultaneously in mixture for different time of exposure</w:t>
      </w:r>
    </w:p>
    <w:p w:rsidR="00873ABF" w:rsidRDefault="00873ABF" w:rsidP="00A75978">
      <w:pPr>
        <w:pStyle w:val="Heading1"/>
        <w:jc w:val="center"/>
        <w:rPr>
          <w:rFonts w:ascii="Arial" w:hAnsi="Arial" w:cs="Arial"/>
          <w:b/>
          <w:bCs/>
          <w:sz w:val="20"/>
          <w:szCs w:val="20"/>
        </w:rPr>
      </w:pPr>
      <w:r>
        <w:rPr>
          <w:rFonts w:ascii="Arial" w:hAnsi="Arial" w:cs="Arial"/>
          <w:b/>
          <w:bCs/>
          <w:noProof/>
          <w:sz w:val="20"/>
          <w:szCs w:val="20"/>
        </w:rPr>
        <w:drawing>
          <wp:inline distT="0" distB="0" distL="0" distR="0">
            <wp:extent cx="5000625" cy="2324100"/>
            <wp:effectExtent l="1905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C4037" w:rsidRPr="005D4A81" w:rsidRDefault="005D4A81" w:rsidP="005D4A81">
      <w:pPr>
        <w:bidi w:val="0"/>
        <w:jc w:val="center"/>
        <w:rPr>
          <w:rFonts w:asciiTheme="minorBidi" w:hAnsiTheme="minorBidi" w:cstheme="minorBidi"/>
          <w:i/>
          <w:iCs/>
        </w:rPr>
      </w:pPr>
      <w:r>
        <w:rPr>
          <w:rFonts w:asciiTheme="minorBidi" w:hAnsiTheme="minorBidi" w:cstheme="minorBidi"/>
        </w:rPr>
        <w:t xml:space="preserve">Fig (6): The combined effect of hematoporphyrin (H) and dimilin (D) against </w:t>
      </w:r>
      <w:r>
        <w:rPr>
          <w:rFonts w:asciiTheme="minorBidi" w:hAnsiTheme="minorBidi" w:cstheme="minorBidi"/>
          <w:i/>
          <w:iCs/>
        </w:rPr>
        <w:t>C. pipiens larvae when pretreated with either of them</w:t>
      </w:r>
    </w:p>
    <w:p w:rsidR="00873ABF" w:rsidRDefault="00873ABF" w:rsidP="00A75978">
      <w:pPr>
        <w:pStyle w:val="Heading1"/>
        <w:jc w:val="center"/>
        <w:rPr>
          <w:rFonts w:ascii="Arial" w:hAnsi="Arial" w:cs="Arial"/>
          <w:b/>
          <w:bCs/>
          <w:sz w:val="20"/>
          <w:szCs w:val="20"/>
        </w:rPr>
      </w:pPr>
    </w:p>
    <w:p w:rsidR="00873ABF" w:rsidRDefault="00873ABF" w:rsidP="00A75978">
      <w:pPr>
        <w:pStyle w:val="Heading1"/>
        <w:jc w:val="center"/>
        <w:rPr>
          <w:rFonts w:ascii="Arial" w:hAnsi="Arial" w:cs="Arial"/>
          <w:b/>
          <w:bCs/>
          <w:sz w:val="20"/>
          <w:szCs w:val="20"/>
        </w:rPr>
      </w:pPr>
      <w:r>
        <w:rPr>
          <w:rFonts w:ascii="Arial" w:hAnsi="Arial" w:cs="Arial"/>
          <w:b/>
          <w:bCs/>
          <w:noProof/>
          <w:sz w:val="20"/>
          <w:szCs w:val="20"/>
        </w:rPr>
        <w:drawing>
          <wp:inline distT="0" distB="0" distL="0" distR="0">
            <wp:extent cx="4905375" cy="2190750"/>
            <wp:effectExtent l="1905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D5069" w:rsidRDefault="005D4A81" w:rsidP="005D4A81">
      <w:pPr>
        <w:jc w:val="right"/>
      </w:pPr>
      <w:r>
        <w:rPr>
          <w:rFonts w:ascii="Arial" w:eastAsiaTheme="minorEastAsia" w:hAnsi="Arial" w:cs="Arial"/>
          <w:szCs w:val="20"/>
        </w:rPr>
        <w:t xml:space="preserve">Fig (7): The combined effect of hematoporphyrin and dimilin against </w:t>
      </w:r>
      <w:r>
        <w:rPr>
          <w:rFonts w:ascii="Arial" w:eastAsiaTheme="minorEastAsia" w:hAnsi="Arial" w:cs="Arial"/>
          <w:i/>
          <w:iCs/>
          <w:szCs w:val="20"/>
        </w:rPr>
        <w:t xml:space="preserve">C.pipiens </w:t>
      </w:r>
      <w:r>
        <w:rPr>
          <w:rFonts w:ascii="Arial" w:eastAsiaTheme="minorEastAsia" w:hAnsi="Arial" w:cs="Arial"/>
          <w:szCs w:val="20"/>
        </w:rPr>
        <w:t xml:space="preserve">larvae when used for prolonged time of exposure. </w:t>
      </w:r>
    </w:p>
    <w:p w:rsidR="00ED5069" w:rsidRDefault="00ED5069"/>
    <w:p w:rsidR="00ED5069" w:rsidRPr="00B41A46" w:rsidRDefault="005D4A81" w:rsidP="005D4A81">
      <w:pPr>
        <w:jc w:val="center"/>
        <w:rPr>
          <w:rFonts w:ascii="Simplified Arabic" w:hAnsi="Simplified Arabic" w:cs="Simplified Arabic"/>
          <w:b/>
          <w:bCs/>
          <w:sz w:val="32"/>
          <w:szCs w:val="36"/>
          <w:rtl/>
        </w:rPr>
      </w:pPr>
      <w:r>
        <w:rPr>
          <w:rFonts w:ascii="Simplified Arabic" w:hAnsi="Simplified Arabic" w:cs="Simplified Arabic" w:hint="cs"/>
          <w:b/>
          <w:bCs/>
          <w:sz w:val="32"/>
          <w:szCs w:val="36"/>
          <w:rtl/>
        </w:rPr>
        <w:t>ال</w:t>
      </w:r>
      <w:r w:rsidR="00ED5069" w:rsidRPr="00B41A46">
        <w:rPr>
          <w:rFonts w:ascii="Simplified Arabic" w:hAnsi="Simplified Arabic" w:cs="Simplified Arabic"/>
          <w:b/>
          <w:bCs/>
          <w:sz w:val="32"/>
          <w:szCs w:val="36"/>
          <w:rtl/>
        </w:rPr>
        <w:t xml:space="preserve">تأثير المختلط لمادة الهيماتوبورفيرين المنشطة ضوئيا ومنظم النمو الحشري الديميلين علي برقات بعوضة </w:t>
      </w:r>
      <w:r w:rsidR="00ED5069" w:rsidRPr="00B41A46">
        <w:rPr>
          <w:rFonts w:ascii="Simplified Arabic" w:hAnsi="Simplified Arabic" w:cs="Simplified Arabic"/>
          <w:b/>
          <w:bCs/>
          <w:i/>
          <w:iCs/>
          <w:sz w:val="32"/>
          <w:szCs w:val="36"/>
          <w:rtl/>
        </w:rPr>
        <w:t>الكيولكس ببينز</w:t>
      </w:r>
    </w:p>
    <w:p w:rsidR="00ED5069" w:rsidRPr="00B41A46" w:rsidRDefault="00ED5069" w:rsidP="005D4A81">
      <w:pPr>
        <w:jc w:val="center"/>
        <w:rPr>
          <w:rFonts w:ascii="Simplified Arabic" w:hAnsi="Simplified Arabic" w:cs="Simplified Arabic"/>
          <w:b/>
          <w:bCs/>
          <w:sz w:val="28"/>
          <w:szCs w:val="32"/>
          <w:rtl/>
        </w:rPr>
      </w:pPr>
      <w:r w:rsidRPr="00B41A46">
        <w:rPr>
          <w:rFonts w:ascii="Simplified Arabic" w:hAnsi="Simplified Arabic" w:cs="Simplified Arabic"/>
          <w:b/>
          <w:bCs/>
          <w:sz w:val="28"/>
          <w:szCs w:val="32"/>
          <w:rtl/>
        </w:rPr>
        <w:t>إلهام محمد أحمد سلامة</w:t>
      </w:r>
    </w:p>
    <w:p w:rsidR="00ED5069" w:rsidRPr="00B41A46" w:rsidRDefault="00ED5069" w:rsidP="00ED5069">
      <w:pPr>
        <w:jc w:val="center"/>
        <w:rPr>
          <w:rFonts w:ascii="Simplified Arabic" w:hAnsi="Simplified Arabic" w:cs="Simplified Arabic"/>
          <w:b/>
          <w:bCs/>
          <w:sz w:val="28"/>
          <w:szCs w:val="32"/>
          <w:rtl/>
        </w:rPr>
      </w:pPr>
      <w:r w:rsidRPr="00B41A46">
        <w:rPr>
          <w:rFonts w:ascii="Simplified Arabic" w:hAnsi="Simplified Arabic" w:cs="Simplified Arabic"/>
          <w:b/>
          <w:bCs/>
          <w:sz w:val="28"/>
          <w:szCs w:val="32"/>
          <w:rtl/>
        </w:rPr>
        <w:t>قسم علم الحشرات - كلية علوم - جامعة الزقازيق فرع بنها</w:t>
      </w:r>
    </w:p>
    <w:p w:rsidR="00ED5069" w:rsidRPr="00760B34" w:rsidRDefault="00ED5069" w:rsidP="00ED5069">
      <w:pPr>
        <w:jc w:val="both"/>
        <w:rPr>
          <w:rFonts w:ascii="Simplified Arabic" w:hAnsi="Simplified Arabic" w:cs="Simplified Arabic"/>
          <w:sz w:val="24"/>
          <w:rtl/>
        </w:rPr>
      </w:pPr>
      <w:r w:rsidRPr="00B41A46">
        <w:rPr>
          <w:rFonts w:ascii="Simplified Arabic" w:hAnsi="Simplified Arabic" w:cs="Simplified Arabic"/>
          <w:sz w:val="24"/>
          <w:szCs w:val="28"/>
          <w:rtl/>
        </w:rPr>
        <w:tab/>
      </w:r>
      <w:r w:rsidRPr="00760B34">
        <w:rPr>
          <w:rFonts w:ascii="Simplified Arabic" w:hAnsi="Simplified Arabic" w:cs="Simplified Arabic"/>
          <w:sz w:val="24"/>
          <w:rtl/>
        </w:rPr>
        <w:t xml:space="preserve">في دراسات معملية سابقة أثبت الهيماتوبورفيرين أنه أكثر تأثيرا علي الطور اليرقي الرابع ليرقة </w:t>
      </w:r>
      <w:r w:rsidRPr="00760B34">
        <w:rPr>
          <w:rFonts w:ascii="Simplified Arabic" w:hAnsi="Simplified Arabic" w:cs="Simplified Arabic"/>
          <w:b/>
          <w:bCs/>
          <w:i/>
          <w:iCs/>
          <w:sz w:val="24"/>
          <w:rtl/>
        </w:rPr>
        <w:t>الكيولكس ببينز</w:t>
      </w:r>
      <w:r w:rsidRPr="00760B34">
        <w:rPr>
          <w:rFonts w:ascii="Simplified Arabic" w:hAnsi="Simplified Arabic" w:cs="Simplified Arabic"/>
          <w:sz w:val="24"/>
          <w:rtl/>
        </w:rPr>
        <w:t xml:space="preserve"> ، ويعتمد التأثير الضوئي السام لهذا المبيد الضوئي علي قدرته لإنتاج شوارد متأينة في وجود الضوء وهذا يحدث تأثيرا مدمرا علي جدار الخلية فيحدث موت الخلية ، ومع ذلك فهو ضعيف الثبات جدا في وجود الضوء وفي هذه الدراسة الحالية تم دراسة توافق كلا من الهيماتوبورفيرين والديميلين معا. تم معاملة بداية الطورين اليرقيين الثاني والرابع </w:t>
      </w:r>
      <w:r w:rsidRPr="00760B34">
        <w:rPr>
          <w:rFonts w:ascii="Simplified Arabic" w:hAnsi="Simplified Arabic" w:cs="Simplified Arabic"/>
          <w:b/>
          <w:bCs/>
          <w:i/>
          <w:iCs/>
          <w:sz w:val="24"/>
          <w:rtl/>
        </w:rPr>
        <w:t>الكيولكس ببينز</w:t>
      </w:r>
      <w:r w:rsidRPr="00760B34">
        <w:rPr>
          <w:rFonts w:ascii="Simplified Arabic" w:hAnsi="Simplified Arabic" w:cs="Simplified Arabic"/>
          <w:sz w:val="24"/>
          <w:rtl/>
        </w:rPr>
        <w:t xml:space="preserve">  بواسطة الديميلين لفترات متباينة وهي </w:t>
      </w:r>
      <w:r w:rsidRPr="00760B34">
        <w:rPr>
          <w:rFonts w:ascii="Simplified Arabic" w:hAnsi="Simplified Arabic" w:cs="Simplified Arabic"/>
          <w:sz w:val="24"/>
        </w:rPr>
        <w:t>24.48.72</w:t>
      </w:r>
      <w:r w:rsidRPr="00760B34">
        <w:rPr>
          <w:rFonts w:ascii="Simplified Arabic" w:hAnsi="Simplified Arabic" w:cs="Simplified Arabic"/>
          <w:sz w:val="24"/>
          <w:rtl/>
        </w:rPr>
        <w:t xml:space="preserve"> ساعة أو لمدة طويلة </w:t>
      </w:r>
    </w:p>
    <w:p w:rsidR="00ED5069" w:rsidRPr="00760B34" w:rsidRDefault="00ED5069" w:rsidP="00ED5069">
      <w:pPr>
        <w:jc w:val="both"/>
        <w:rPr>
          <w:rFonts w:ascii="Simplified Arabic" w:hAnsi="Simplified Arabic" w:cs="Simplified Arabic"/>
          <w:b/>
          <w:bCs/>
          <w:i/>
          <w:iCs/>
          <w:sz w:val="24"/>
          <w:u w:val="single"/>
          <w:rtl/>
        </w:rPr>
      </w:pPr>
      <w:r w:rsidRPr="00760B34">
        <w:rPr>
          <w:rFonts w:ascii="Simplified Arabic" w:hAnsi="Simplified Arabic" w:cs="Simplified Arabic"/>
          <w:sz w:val="24"/>
          <w:rtl/>
        </w:rPr>
        <w:t xml:space="preserve">( لحين ظهور العذاري ) ثم يتم تعريضهم للهيماتوبورفيرين لمدة </w:t>
      </w:r>
      <w:r w:rsidRPr="00760B34">
        <w:rPr>
          <w:rFonts w:ascii="Simplified Arabic" w:hAnsi="Simplified Arabic" w:cs="Simplified Arabic"/>
          <w:sz w:val="24"/>
        </w:rPr>
        <w:t>24</w:t>
      </w:r>
      <w:r w:rsidRPr="00760B34">
        <w:rPr>
          <w:rFonts w:ascii="Simplified Arabic" w:hAnsi="Simplified Arabic" w:cs="Simplified Arabic"/>
          <w:sz w:val="24"/>
          <w:rtl/>
        </w:rPr>
        <w:t xml:space="preserve"> ساعة قبل التعرض للضوء أو العكس بالعكس. تظل اليرقات في الظلام ل</w:t>
      </w:r>
      <w:r w:rsidR="00760B34">
        <w:rPr>
          <w:rFonts w:ascii="Simplified Arabic" w:hAnsi="Simplified Arabic" w:cs="Simplified Arabic"/>
          <w:sz w:val="24"/>
          <w:rtl/>
        </w:rPr>
        <w:t>حين تعرضها للضوء الصناعي</w:t>
      </w:r>
      <w:r w:rsidR="00760B34">
        <w:rPr>
          <w:rFonts w:ascii="Simplified Arabic" w:hAnsi="Simplified Arabic" w:cs="Simplified Arabic" w:hint="cs"/>
          <w:sz w:val="24"/>
          <w:rtl/>
        </w:rPr>
        <w:t xml:space="preserve"> </w:t>
      </w:r>
      <w:r w:rsidRPr="00760B34">
        <w:rPr>
          <w:rFonts w:ascii="Simplified Arabic" w:hAnsi="Simplified Arabic" w:cs="Simplified Arabic"/>
          <w:sz w:val="24"/>
          <w:rtl/>
        </w:rPr>
        <w:t>(</w:t>
      </w:r>
      <w:r w:rsidRPr="00760B34">
        <w:rPr>
          <w:rFonts w:ascii="Simplified Arabic" w:hAnsi="Simplified Arabic" w:cs="Simplified Arabic"/>
          <w:sz w:val="24"/>
        </w:rPr>
        <w:t>400-380</w:t>
      </w:r>
      <w:r w:rsidRPr="00760B34">
        <w:rPr>
          <w:rFonts w:ascii="Simplified Arabic" w:hAnsi="Simplified Arabic" w:cs="Simplified Arabic"/>
          <w:sz w:val="24"/>
          <w:rtl/>
        </w:rPr>
        <w:t xml:space="preserve"> وات لكل متر مربع). ووجد أن تأثيرهما معا يحدث نسبة أماتة أعلي من إستخدام كلا منهما منفردا ، بالإضافة إلى أن تأثيرهما المتداخل بين الهيماتوبورفيرين والديميلين كأنا أكثر إضافة في الطور اليرقي الصغير عن الطور اليرقي البالغ. أثبت التأثير المجتمع لهيماتوبورفيرين والديميلين أكثر قبولا عندما يتم التعرض للهيماتوبوفيرين بتأخير </w:t>
      </w:r>
      <w:r w:rsidRPr="00760B34">
        <w:rPr>
          <w:rFonts w:ascii="Simplified Arabic" w:hAnsi="Simplified Arabic" w:cs="Simplified Arabic"/>
          <w:sz w:val="24"/>
        </w:rPr>
        <w:t>24</w:t>
      </w:r>
      <w:r w:rsidRPr="00760B34">
        <w:rPr>
          <w:rFonts w:ascii="Simplified Arabic" w:hAnsi="Simplified Arabic" w:cs="Simplified Arabic"/>
          <w:sz w:val="24"/>
          <w:rtl/>
        </w:rPr>
        <w:t xml:space="preserve"> ساعة قبل التعرض للضوء ومن هنا يتضح تماما من النتائج المتحصل عليها إمكانية إستخدام كلا من الهيماتوبورفيرين والديميلين مختلطين لمقاومة يرقة بعوضة </w:t>
      </w:r>
      <w:r w:rsidRPr="00760B34">
        <w:rPr>
          <w:rFonts w:ascii="Simplified Arabic" w:hAnsi="Simplified Arabic" w:cs="Simplified Arabic"/>
          <w:b/>
          <w:bCs/>
          <w:i/>
          <w:iCs/>
          <w:sz w:val="24"/>
          <w:rtl/>
        </w:rPr>
        <w:t>الكيولكس ببينز.</w:t>
      </w:r>
      <w:r w:rsidRPr="00760B34">
        <w:rPr>
          <w:rFonts w:ascii="Simplified Arabic" w:hAnsi="Simplified Arabic" w:cs="Simplified Arabic"/>
          <w:b/>
          <w:bCs/>
          <w:i/>
          <w:iCs/>
          <w:sz w:val="24"/>
          <w:u w:val="single"/>
          <w:rtl/>
        </w:rPr>
        <w:t xml:space="preserve"> </w:t>
      </w:r>
    </w:p>
    <w:p w:rsidR="00ED5069" w:rsidRPr="00760B34" w:rsidRDefault="00ED5069" w:rsidP="00ED5069">
      <w:pPr>
        <w:jc w:val="center"/>
        <w:rPr>
          <w:rFonts w:ascii="Simplified Arabic" w:hAnsi="Simplified Arabic" w:cs="Simplified Arabic"/>
          <w:b/>
          <w:bCs/>
          <w:sz w:val="24"/>
          <w:rtl/>
        </w:rPr>
      </w:pPr>
    </w:p>
    <w:p w:rsidR="00ED5069" w:rsidRDefault="00ED5069"/>
    <w:sectPr w:rsidR="00ED5069" w:rsidSect="007E14F3">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389" w:rsidRDefault="008F2389" w:rsidP="00596C36">
      <w:r>
        <w:separator/>
      </w:r>
    </w:p>
  </w:endnote>
  <w:endnote w:type="continuationSeparator" w:id="1">
    <w:p w:rsidR="008F2389" w:rsidRDefault="008F2389" w:rsidP="00596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389" w:rsidRDefault="008F2389" w:rsidP="00596C36">
      <w:r>
        <w:separator/>
      </w:r>
    </w:p>
  </w:footnote>
  <w:footnote w:type="continuationSeparator" w:id="1">
    <w:p w:rsidR="008F2389" w:rsidRDefault="008F2389" w:rsidP="00596C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82240"/>
    <w:multiLevelType w:val="hybridMultilevel"/>
    <w:tmpl w:val="6FE88F88"/>
    <w:lvl w:ilvl="0" w:tplc="968ABE20">
      <w:start w:val="50"/>
      <w:numFmt w:val="decimal"/>
      <w:lvlText w:val="%1"/>
      <w:lvlJc w:val="left"/>
      <w:pPr>
        <w:tabs>
          <w:tab w:val="num" w:pos="1575"/>
        </w:tabs>
        <w:ind w:left="1575" w:hanging="1515"/>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
    <w:nsid w:val="48B62CA1"/>
    <w:multiLevelType w:val="hybridMultilevel"/>
    <w:tmpl w:val="8AAC94A2"/>
    <w:lvl w:ilvl="0" w:tplc="4DFAFDFE">
      <w:start w:val="50"/>
      <w:numFmt w:val="decimal"/>
      <w:lvlText w:val="%1"/>
      <w:lvlJc w:val="left"/>
      <w:pPr>
        <w:tabs>
          <w:tab w:val="num" w:pos="1635"/>
        </w:tabs>
        <w:ind w:left="1635" w:hanging="1575"/>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2">
    <w:nsid w:val="4E640C51"/>
    <w:multiLevelType w:val="hybridMultilevel"/>
    <w:tmpl w:val="1F66134C"/>
    <w:lvl w:ilvl="0" w:tplc="0CF0C286">
      <w:start w:val="50"/>
      <w:numFmt w:val="decimal"/>
      <w:lvlText w:val="%1"/>
      <w:lvlJc w:val="left"/>
      <w:pPr>
        <w:tabs>
          <w:tab w:val="num" w:pos="1635"/>
        </w:tabs>
        <w:ind w:left="1635" w:hanging="1575"/>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3">
    <w:nsid w:val="5C9B5D7F"/>
    <w:multiLevelType w:val="hybridMultilevel"/>
    <w:tmpl w:val="3548830A"/>
    <w:lvl w:ilvl="0" w:tplc="C08E8ED6">
      <w:start w:val="50"/>
      <w:numFmt w:val="decimal"/>
      <w:lvlText w:val="%1"/>
      <w:lvlJc w:val="left"/>
      <w:pPr>
        <w:tabs>
          <w:tab w:val="num" w:pos="1635"/>
        </w:tabs>
        <w:ind w:left="1635" w:hanging="1575"/>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4">
    <w:nsid w:val="791E531C"/>
    <w:multiLevelType w:val="hybridMultilevel"/>
    <w:tmpl w:val="5FDC10E6"/>
    <w:lvl w:ilvl="0" w:tplc="C008758E">
      <w:start w:val="50"/>
      <w:numFmt w:val="decimal"/>
      <w:lvlText w:val="%1"/>
      <w:lvlJc w:val="left"/>
      <w:pPr>
        <w:tabs>
          <w:tab w:val="num" w:pos="1635"/>
        </w:tabs>
        <w:ind w:left="1635" w:hanging="1575"/>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90D25"/>
    <w:rsid w:val="00100E96"/>
    <w:rsid w:val="001E7C91"/>
    <w:rsid w:val="002D2E90"/>
    <w:rsid w:val="00304888"/>
    <w:rsid w:val="00340B02"/>
    <w:rsid w:val="003C4037"/>
    <w:rsid w:val="003F1634"/>
    <w:rsid w:val="00424E0B"/>
    <w:rsid w:val="00434484"/>
    <w:rsid w:val="00466E7D"/>
    <w:rsid w:val="004A0ADD"/>
    <w:rsid w:val="004D4EB9"/>
    <w:rsid w:val="005174C9"/>
    <w:rsid w:val="0057032F"/>
    <w:rsid w:val="00587902"/>
    <w:rsid w:val="00596C36"/>
    <w:rsid w:val="005D4A81"/>
    <w:rsid w:val="005E060A"/>
    <w:rsid w:val="00613D0B"/>
    <w:rsid w:val="0062476C"/>
    <w:rsid w:val="006259B1"/>
    <w:rsid w:val="006344CD"/>
    <w:rsid w:val="00646C82"/>
    <w:rsid w:val="00660439"/>
    <w:rsid w:val="00662822"/>
    <w:rsid w:val="00676FCB"/>
    <w:rsid w:val="00677022"/>
    <w:rsid w:val="00690D25"/>
    <w:rsid w:val="00722D80"/>
    <w:rsid w:val="00760B34"/>
    <w:rsid w:val="007651C0"/>
    <w:rsid w:val="00785B83"/>
    <w:rsid w:val="007C144E"/>
    <w:rsid w:val="007D1900"/>
    <w:rsid w:val="007E14F3"/>
    <w:rsid w:val="00815BB7"/>
    <w:rsid w:val="00821F85"/>
    <w:rsid w:val="00873ABF"/>
    <w:rsid w:val="008F2389"/>
    <w:rsid w:val="00915397"/>
    <w:rsid w:val="00920DBB"/>
    <w:rsid w:val="0092526F"/>
    <w:rsid w:val="009517CB"/>
    <w:rsid w:val="00955AF7"/>
    <w:rsid w:val="009572AF"/>
    <w:rsid w:val="00967550"/>
    <w:rsid w:val="0098379F"/>
    <w:rsid w:val="0098723C"/>
    <w:rsid w:val="009F59E0"/>
    <w:rsid w:val="00A32D65"/>
    <w:rsid w:val="00A36DDF"/>
    <w:rsid w:val="00A37623"/>
    <w:rsid w:val="00A75978"/>
    <w:rsid w:val="00AA29D1"/>
    <w:rsid w:val="00AB2E5F"/>
    <w:rsid w:val="00AD40A9"/>
    <w:rsid w:val="00AD7FE0"/>
    <w:rsid w:val="00B030C6"/>
    <w:rsid w:val="00B16B07"/>
    <w:rsid w:val="00B52AC6"/>
    <w:rsid w:val="00BE6307"/>
    <w:rsid w:val="00BF5B37"/>
    <w:rsid w:val="00C40D66"/>
    <w:rsid w:val="00C43D64"/>
    <w:rsid w:val="00C90D7C"/>
    <w:rsid w:val="00C97BD0"/>
    <w:rsid w:val="00D019E4"/>
    <w:rsid w:val="00D043F1"/>
    <w:rsid w:val="00D054F9"/>
    <w:rsid w:val="00D20838"/>
    <w:rsid w:val="00D91B5B"/>
    <w:rsid w:val="00DA5DCD"/>
    <w:rsid w:val="00DD1B10"/>
    <w:rsid w:val="00E81618"/>
    <w:rsid w:val="00EC5D5B"/>
    <w:rsid w:val="00ED5069"/>
    <w:rsid w:val="00ED78B5"/>
    <w:rsid w:val="00EF5424"/>
    <w:rsid w:val="00EF6BB9"/>
    <w:rsid w:val="00F139F8"/>
    <w:rsid w:val="00F573FD"/>
    <w:rsid w:val="00F60F80"/>
    <w:rsid w:val="00FA526F"/>
    <w:rsid w:val="00FD0C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D25"/>
    <w:pPr>
      <w:autoSpaceDE w:val="0"/>
      <w:autoSpaceDN w:val="0"/>
      <w:bidi/>
      <w:spacing w:after="0" w:line="240" w:lineRule="auto"/>
    </w:pPr>
    <w:rPr>
      <w:rFonts w:ascii="Times New Roman" w:eastAsia="Times New Roman" w:hAnsi="Times New Roman" w:cs="Traditional Arabic"/>
      <w:sz w:val="20"/>
      <w:szCs w:val="24"/>
    </w:rPr>
  </w:style>
  <w:style w:type="paragraph" w:styleId="Heading1">
    <w:name w:val="heading 1"/>
    <w:basedOn w:val="Normal"/>
    <w:next w:val="Normal"/>
    <w:link w:val="Heading1Char"/>
    <w:uiPriority w:val="99"/>
    <w:qFormat/>
    <w:rsid w:val="00A75978"/>
    <w:pPr>
      <w:keepNext/>
      <w:widowControl w:val="0"/>
      <w:bidi w:val="0"/>
      <w:jc w:val="both"/>
      <w:outlineLvl w:val="0"/>
    </w:pPr>
    <w:rPr>
      <w:rFonts w:eastAsiaTheme="minorEastAsia" w:cs="Times New Roman"/>
      <w:sz w:val="28"/>
      <w:szCs w:val="28"/>
    </w:rPr>
  </w:style>
  <w:style w:type="paragraph" w:styleId="Heading3">
    <w:name w:val="heading 3"/>
    <w:basedOn w:val="Normal"/>
    <w:next w:val="Normal"/>
    <w:link w:val="Heading3Char"/>
    <w:uiPriority w:val="9"/>
    <w:unhideWhenUsed/>
    <w:qFormat/>
    <w:rsid w:val="001E7C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E7C91"/>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915397"/>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978"/>
    <w:rPr>
      <w:rFonts w:ascii="Times New Roman" w:eastAsiaTheme="minorEastAsia" w:hAnsi="Times New Roman" w:cs="Times New Roman"/>
      <w:sz w:val="28"/>
      <w:szCs w:val="28"/>
    </w:rPr>
  </w:style>
  <w:style w:type="paragraph" w:styleId="BodyText">
    <w:name w:val="Body Text"/>
    <w:basedOn w:val="Normal"/>
    <w:link w:val="BodyTextChar"/>
    <w:uiPriority w:val="99"/>
    <w:rsid w:val="00A75978"/>
    <w:pPr>
      <w:bidi w:val="0"/>
      <w:jc w:val="center"/>
    </w:pPr>
    <w:rPr>
      <w:rFonts w:eastAsiaTheme="minorEastAsia" w:cs="Times New Roman"/>
      <w:sz w:val="36"/>
      <w:szCs w:val="36"/>
      <w:lang w:val="en-GB"/>
    </w:rPr>
  </w:style>
  <w:style w:type="character" w:customStyle="1" w:styleId="BodyTextChar">
    <w:name w:val="Body Text Char"/>
    <w:basedOn w:val="DefaultParagraphFont"/>
    <w:link w:val="BodyText"/>
    <w:uiPriority w:val="99"/>
    <w:rsid w:val="00A75978"/>
    <w:rPr>
      <w:rFonts w:ascii="Times New Roman" w:eastAsiaTheme="minorEastAsia" w:hAnsi="Times New Roman" w:cs="Times New Roman"/>
      <w:sz w:val="36"/>
      <w:szCs w:val="36"/>
      <w:lang w:val="en-GB"/>
    </w:rPr>
  </w:style>
  <w:style w:type="paragraph" w:styleId="BodyText2">
    <w:name w:val="Body Text 2"/>
    <w:basedOn w:val="Normal"/>
    <w:link w:val="BodyText2Char"/>
    <w:uiPriority w:val="99"/>
    <w:rsid w:val="00A75978"/>
    <w:pPr>
      <w:bidi w:val="0"/>
    </w:pPr>
    <w:rPr>
      <w:rFonts w:ascii="Arial" w:eastAsiaTheme="minorEastAsia" w:hAnsi="Arial" w:cs="Arial"/>
      <w:szCs w:val="20"/>
      <w:lang w:val="en-GB"/>
    </w:rPr>
  </w:style>
  <w:style w:type="character" w:customStyle="1" w:styleId="BodyText2Char">
    <w:name w:val="Body Text 2 Char"/>
    <w:basedOn w:val="DefaultParagraphFont"/>
    <w:link w:val="BodyText2"/>
    <w:uiPriority w:val="99"/>
    <w:rsid w:val="00A75978"/>
    <w:rPr>
      <w:rFonts w:ascii="Arial" w:eastAsiaTheme="minorEastAsia" w:hAnsi="Arial" w:cs="Arial"/>
      <w:sz w:val="20"/>
      <w:szCs w:val="20"/>
      <w:lang w:val="en-GB"/>
    </w:rPr>
  </w:style>
  <w:style w:type="paragraph" w:styleId="BodyTextIndent3">
    <w:name w:val="Body Text Indent 3"/>
    <w:basedOn w:val="Normal"/>
    <w:link w:val="BodyTextIndent3Char"/>
    <w:uiPriority w:val="99"/>
    <w:rsid w:val="00A75978"/>
    <w:pPr>
      <w:widowControl w:val="0"/>
      <w:bidi w:val="0"/>
      <w:ind w:left="567" w:hanging="567"/>
      <w:jc w:val="both"/>
    </w:pPr>
    <w:rPr>
      <w:rFonts w:eastAsiaTheme="minorEastAsia" w:cs="Times New Roman"/>
      <w:sz w:val="28"/>
      <w:szCs w:val="28"/>
    </w:rPr>
  </w:style>
  <w:style w:type="character" w:customStyle="1" w:styleId="BodyTextIndent3Char">
    <w:name w:val="Body Text Indent 3 Char"/>
    <w:basedOn w:val="DefaultParagraphFont"/>
    <w:link w:val="BodyTextIndent3"/>
    <w:uiPriority w:val="99"/>
    <w:rsid w:val="00A75978"/>
    <w:rPr>
      <w:rFonts w:ascii="Times New Roman" w:eastAsiaTheme="minorEastAsia" w:hAnsi="Times New Roman" w:cs="Times New Roman"/>
      <w:sz w:val="28"/>
      <w:szCs w:val="28"/>
    </w:rPr>
  </w:style>
  <w:style w:type="paragraph" w:styleId="BodyText3">
    <w:name w:val="Body Text 3"/>
    <w:basedOn w:val="Normal"/>
    <w:link w:val="BodyText3Char"/>
    <w:uiPriority w:val="99"/>
    <w:rsid w:val="00A75978"/>
    <w:pPr>
      <w:bidi w:val="0"/>
      <w:jc w:val="both"/>
    </w:pPr>
    <w:rPr>
      <w:rFonts w:ascii="Arial" w:eastAsiaTheme="minorEastAsia" w:hAnsi="Arial" w:cs="Arial"/>
      <w:szCs w:val="20"/>
      <w:lang w:val="en-GB"/>
    </w:rPr>
  </w:style>
  <w:style w:type="character" w:customStyle="1" w:styleId="BodyText3Char">
    <w:name w:val="Body Text 3 Char"/>
    <w:basedOn w:val="DefaultParagraphFont"/>
    <w:link w:val="BodyText3"/>
    <w:uiPriority w:val="99"/>
    <w:rsid w:val="00A75978"/>
    <w:rPr>
      <w:rFonts w:ascii="Arial" w:eastAsiaTheme="minorEastAsia" w:hAnsi="Arial" w:cs="Arial"/>
      <w:sz w:val="20"/>
      <w:szCs w:val="20"/>
      <w:lang w:val="en-GB"/>
    </w:rPr>
  </w:style>
  <w:style w:type="character" w:customStyle="1" w:styleId="Heading8Char">
    <w:name w:val="Heading 8 Char"/>
    <w:basedOn w:val="DefaultParagraphFont"/>
    <w:link w:val="Heading8"/>
    <w:uiPriority w:val="9"/>
    <w:semiHidden/>
    <w:rsid w:val="00915397"/>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rsid w:val="00915397"/>
    <w:pPr>
      <w:tabs>
        <w:tab w:val="center" w:pos="4153"/>
        <w:tab w:val="right" w:pos="8306"/>
      </w:tabs>
      <w:autoSpaceDE/>
      <w:autoSpaceDN/>
      <w:bidi w:val="0"/>
    </w:pPr>
    <w:rPr>
      <w:rFonts w:eastAsiaTheme="minorEastAsia" w:cs="Times New Roman"/>
      <w:sz w:val="24"/>
      <w:lang w:val="en-GB"/>
    </w:rPr>
  </w:style>
  <w:style w:type="character" w:customStyle="1" w:styleId="HeaderChar">
    <w:name w:val="Header Char"/>
    <w:basedOn w:val="DefaultParagraphFont"/>
    <w:link w:val="Header"/>
    <w:uiPriority w:val="99"/>
    <w:rsid w:val="00915397"/>
    <w:rPr>
      <w:rFonts w:ascii="Times New Roman" w:eastAsiaTheme="minorEastAsia" w:hAnsi="Times New Roman" w:cs="Times New Roman"/>
      <w:sz w:val="24"/>
      <w:szCs w:val="24"/>
      <w:lang w:val="en-GB"/>
    </w:rPr>
  </w:style>
  <w:style w:type="character" w:customStyle="1" w:styleId="Heading3Char">
    <w:name w:val="Heading 3 Char"/>
    <w:basedOn w:val="DefaultParagraphFont"/>
    <w:link w:val="Heading3"/>
    <w:uiPriority w:val="9"/>
    <w:rsid w:val="001E7C91"/>
    <w:rPr>
      <w:rFonts w:asciiTheme="majorHAnsi" w:eastAsiaTheme="majorEastAsia" w:hAnsiTheme="majorHAnsi" w:cstheme="majorBidi"/>
      <w:b/>
      <w:bCs/>
      <w:color w:val="4F81BD" w:themeColor="accent1"/>
      <w:sz w:val="20"/>
      <w:szCs w:val="24"/>
    </w:rPr>
  </w:style>
  <w:style w:type="character" w:customStyle="1" w:styleId="Heading4Char">
    <w:name w:val="Heading 4 Char"/>
    <w:basedOn w:val="DefaultParagraphFont"/>
    <w:link w:val="Heading4"/>
    <w:uiPriority w:val="9"/>
    <w:semiHidden/>
    <w:rsid w:val="001E7C91"/>
    <w:rPr>
      <w:rFonts w:asciiTheme="majorHAnsi" w:eastAsiaTheme="majorEastAsia" w:hAnsiTheme="majorHAnsi" w:cstheme="majorBidi"/>
      <w:b/>
      <w:bCs/>
      <w:i/>
      <w:iCs/>
      <w:color w:val="4F81BD" w:themeColor="accent1"/>
      <w:sz w:val="20"/>
      <w:szCs w:val="24"/>
    </w:rPr>
  </w:style>
  <w:style w:type="table" w:styleId="TableGrid">
    <w:name w:val="Table Grid"/>
    <w:basedOn w:val="TableNormal"/>
    <w:uiPriority w:val="59"/>
    <w:rsid w:val="00ED7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3D64"/>
    <w:rPr>
      <w:rFonts w:ascii="Tahoma" w:hAnsi="Tahoma" w:cs="Tahoma"/>
      <w:sz w:val="16"/>
      <w:szCs w:val="16"/>
    </w:rPr>
  </w:style>
  <w:style w:type="character" w:customStyle="1" w:styleId="BalloonTextChar">
    <w:name w:val="Balloon Text Char"/>
    <w:basedOn w:val="DefaultParagraphFont"/>
    <w:link w:val="BalloonText"/>
    <w:uiPriority w:val="99"/>
    <w:semiHidden/>
    <w:rsid w:val="00C43D64"/>
    <w:rPr>
      <w:rFonts w:ascii="Tahoma" w:eastAsia="Times New Roman" w:hAnsi="Tahoma" w:cs="Tahoma"/>
      <w:sz w:val="16"/>
      <w:szCs w:val="16"/>
    </w:rPr>
  </w:style>
  <w:style w:type="paragraph" w:styleId="Title">
    <w:name w:val="Title"/>
    <w:basedOn w:val="Normal"/>
    <w:link w:val="TitleChar"/>
    <w:uiPriority w:val="99"/>
    <w:qFormat/>
    <w:rsid w:val="00B030C6"/>
    <w:pPr>
      <w:widowControl w:val="0"/>
      <w:bidi w:val="0"/>
      <w:jc w:val="center"/>
    </w:pPr>
    <w:rPr>
      <w:rFonts w:eastAsiaTheme="minorEastAsia" w:cs="Times New Roman"/>
      <w:b/>
      <w:bCs/>
      <w:sz w:val="40"/>
      <w:szCs w:val="40"/>
    </w:rPr>
  </w:style>
  <w:style w:type="character" w:customStyle="1" w:styleId="TitleChar">
    <w:name w:val="Title Char"/>
    <w:basedOn w:val="DefaultParagraphFont"/>
    <w:link w:val="Title"/>
    <w:uiPriority w:val="99"/>
    <w:rsid w:val="00B030C6"/>
    <w:rPr>
      <w:rFonts w:ascii="Times New Roman" w:eastAsiaTheme="minorEastAsia" w:hAnsi="Times New Roman" w:cs="Times New Roman"/>
      <w:b/>
      <w:bCs/>
      <w:sz w:val="40"/>
      <w:szCs w:val="40"/>
    </w:rPr>
  </w:style>
  <w:style w:type="paragraph" w:styleId="Footer">
    <w:name w:val="footer"/>
    <w:basedOn w:val="Normal"/>
    <w:link w:val="FooterChar"/>
    <w:uiPriority w:val="99"/>
    <w:semiHidden/>
    <w:unhideWhenUsed/>
    <w:rsid w:val="00596C36"/>
    <w:pPr>
      <w:tabs>
        <w:tab w:val="center" w:pos="4320"/>
        <w:tab w:val="right" w:pos="8640"/>
      </w:tabs>
    </w:pPr>
  </w:style>
  <w:style w:type="character" w:customStyle="1" w:styleId="FooterChar">
    <w:name w:val="Footer Char"/>
    <w:basedOn w:val="DefaultParagraphFont"/>
    <w:link w:val="Footer"/>
    <w:uiPriority w:val="99"/>
    <w:semiHidden/>
    <w:rsid w:val="00596C36"/>
    <w:rPr>
      <w:rFonts w:ascii="Times New Roman" w:eastAsia="Times New Roman" w:hAnsi="Times New Roman" w:cs="Traditional Arabic"/>
      <w:sz w:val="2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Sheet1!$B$1</c:f>
              <c:strCache>
                <c:ptCount val="1"/>
                <c:pt idx="0">
                  <c:v>mM/ml</c:v>
                </c:pt>
              </c:strCache>
            </c:strRef>
          </c:tx>
          <c:cat>
            <c:strRef>
              <c:f>Sheet1!$A$2:$A$4</c:f>
              <c:strCache>
                <c:ptCount val="3"/>
                <c:pt idx="0">
                  <c:v>24h</c:v>
                </c:pt>
                <c:pt idx="1">
                  <c:v>48h</c:v>
                </c:pt>
                <c:pt idx="2">
                  <c:v>72h</c:v>
                </c:pt>
              </c:strCache>
            </c:strRef>
          </c:cat>
          <c:val>
            <c:numRef>
              <c:f>Sheet1!$B$2:$B$4</c:f>
              <c:numCache>
                <c:formatCode>General</c:formatCode>
                <c:ptCount val="3"/>
                <c:pt idx="0">
                  <c:v>5.9</c:v>
                </c:pt>
                <c:pt idx="1">
                  <c:v>2.6</c:v>
                </c:pt>
                <c:pt idx="2">
                  <c:v>1.4</c:v>
                </c:pt>
              </c:numCache>
            </c:numRef>
          </c:val>
        </c:ser>
        <c:gapWidth val="300"/>
        <c:shape val="box"/>
        <c:axId val="59574528"/>
        <c:axId val="59593472"/>
        <c:axId val="0"/>
      </c:bar3DChart>
      <c:catAx>
        <c:axId val="59574528"/>
        <c:scaling>
          <c:orientation val="minMax"/>
        </c:scaling>
        <c:axPos val="b"/>
        <c:title>
          <c:tx>
            <c:rich>
              <a:bodyPr/>
              <a:lstStyle/>
              <a:p>
                <a:pPr>
                  <a:defRPr/>
                </a:pPr>
                <a:r>
                  <a:rPr lang="en-US" b="0">
                    <a:latin typeface="Arial" pitchFamily="34" charset="0"/>
                    <a:cs typeface="Arial" pitchFamily="34" charset="0"/>
                  </a:rPr>
                  <a:t>Time</a:t>
                </a:r>
              </a:p>
            </c:rich>
          </c:tx>
        </c:title>
        <c:majorTickMark val="none"/>
        <c:tickLblPos val="nextTo"/>
        <c:crossAx val="59593472"/>
        <c:crosses val="autoZero"/>
        <c:auto val="1"/>
        <c:lblAlgn val="ctr"/>
        <c:lblOffset val="100"/>
      </c:catAx>
      <c:valAx>
        <c:axId val="59593472"/>
        <c:scaling>
          <c:orientation val="minMax"/>
        </c:scaling>
        <c:axPos val="l"/>
        <c:majorGridlines/>
        <c:minorGridlines/>
        <c:title>
          <c:tx>
            <c:rich>
              <a:bodyPr/>
              <a:lstStyle/>
              <a:p>
                <a:pPr>
                  <a:defRPr/>
                </a:pPr>
                <a:r>
                  <a:rPr lang="en-US" b="0"/>
                  <a:t>LC</a:t>
                </a:r>
                <a:r>
                  <a:rPr lang="en-US" b="0" baseline="-25000"/>
                  <a:t>50</a:t>
                </a:r>
                <a:endParaRPr lang="en-US" b="0"/>
              </a:p>
            </c:rich>
          </c:tx>
        </c:title>
        <c:numFmt formatCode="General" sourceLinked="1"/>
        <c:tickLblPos val="nextTo"/>
        <c:crossAx val="59574528"/>
        <c:crosses val="autoZero"/>
        <c:crossBetween val="between"/>
        <c:majorUnit val="2"/>
        <c:minorUnit val="2"/>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Sheet1!$B$1</c:f>
              <c:strCache>
                <c:ptCount val="1"/>
                <c:pt idx="0">
                  <c:v>mM/ml</c:v>
                </c:pt>
              </c:strCache>
            </c:strRef>
          </c:tx>
          <c:cat>
            <c:strRef>
              <c:f>Sheet1!$A$2:$A$4</c:f>
              <c:strCache>
                <c:ptCount val="3"/>
                <c:pt idx="0">
                  <c:v>24h</c:v>
                </c:pt>
                <c:pt idx="1">
                  <c:v>48h</c:v>
                </c:pt>
                <c:pt idx="2">
                  <c:v>72h</c:v>
                </c:pt>
              </c:strCache>
            </c:strRef>
          </c:cat>
          <c:val>
            <c:numRef>
              <c:f>Sheet1!$B$2:$B$4</c:f>
              <c:numCache>
                <c:formatCode>General</c:formatCode>
                <c:ptCount val="3"/>
                <c:pt idx="0">
                  <c:v>1.6</c:v>
                </c:pt>
                <c:pt idx="1">
                  <c:v>0.8400000000000003</c:v>
                </c:pt>
                <c:pt idx="2">
                  <c:v>0.38000000000000017</c:v>
                </c:pt>
              </c:numCache>
            </c:numRef>
          </c:val>
        </c:ser>
        <c:gapWidth val="300"/>
        <c:shape val="box"/>
        <c:axId val="62610048"/>
        <c:axId val="62735488"/>
        <c:axId val="0"/>
      </c:bar3DChart>
      <c:catAx>
        <c:axId val="62610048"/>
        <c:scaling>
          <c:orientation val="minMax"/>
        </c:scaling>
        <c:axPos val="b"/>
        <c:title>
          <c:tx>
            <c:rich>
              <a:bodyPr/>
              <a:lstStyle/>
              <a:p>
                <a:pPr>
                  <a:defRPr/>
                </a:pPr>
                <a:r>
                  <a:rPr lang="en-US"/>
                  <a:t>Time</a:t>
                </a:r>
              </a:p>
            </c:rich>
          </c:tx>
        </c:title>
        <c:majorTickMark val="none"/>
        <c:tickLblPos val="nextTo"/>
        <c:crossAx val="62735488"/>
        <c:crosses val="autoZero"/>
        <c:auto val="1"/>
        <c:lblAlgn val="ctr"/>
        <c:lblOffset val="100"/>
      </c:catAx>
      <c:valAx>
        <c:axId val="62735488"/>
        <c:scaling>
          <c:orientation val="minMax"/>
          <c:max val="2"/>
        </c:scaling>
        <c:axPos val="l"/>
        <c:majorGridlines/>
        <c:minorGridlines/>
        <c:title>
          <c:tx>
            <c:rich>
              <a:bodyPr/>
              <a:lstStyle/>
              <a:p>
                <a:pPr>
                  <a:defRPr/>
                </a:pPr>
                <a:r>
                  <a:rPr lang="en-US"/>
                  <a:t>LC</a:t>
                </a:r>
                <a:r>
                  <a:rPr lang="en-US" baseline="-25000"/>
                  <a:t>50</a:t>
                </a:r>
                <a:endParaRPr lang="en-US"/>
              </a:p>
            </c:rich>
          </c:tx>
        </c:title>
        <c:numFmt formatCode="General" sourceLinked="1"/>
        <c:tickLblPos val="nextTo"/>
        <c:crossAx val="62610048"/>
        <c:crosses val="autoZero"/>
        <c:crossBetween val="between"/>
        <c:majorUnit val="0.5"/>
        <c:minorUnit val="0.5"/>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Sheet1!$B$1</c:f>
              <c:strCache>
                <c:ptCount val="1"/>
                <c:pt idx="0">
                  <c:v>ppm</c:v>
                </c:pt>
              </c:strCache>
            </c:strRef>
          </c:tx>
          <c:cat>
            <c:strRef>
              <c:f>Sheet1!$A$2:$A$4</c:f>
              <c:strCache>
                <c:ptCount val="3"/>
                <c:pt idx="0">
                  <c:v>24h</c:v>
                </c:pt>
                <c:pt idx="1">
                  <c:v>48h</c:v>
                </c:pt>
                <c:pt idx="2">
                  <c:v>72h</c:v>
                </c:pt>
              </c:strCache>
            </c:strRef>
          </c:cat>
          <c:val>
            <c:numRef>
              <c:f>Sheet1!$B$2:$B$4</c:f>
              <c:numCache>
                <c:formatCode>General</c:formatCode>
                <c:ptCount val="3"/>
                <c:pt idx="0">
                  <c:v>9.5</c:v>
                </c:pt>
                <c:pt idx="1">
                  <c:v>7.5</c:v>
                </c:pt>
                <c:pt idx="2">
                  <c:v>3.5</c:v>
                </c:pt>
              </c:numCache>
            </c:numRef>
          </c:val>
        </c:ser>
        <c:gapWidth val="300"/>
        <c:shape val="box"/>
        <c:axId val="64637952"/>
        <c:axId val="93862528"/>
        <c:axId val="0"/>
      </c:bar3DChart>
      <c:catAx>
        <c:axId val="64637952"/>
        <c:scaling>
          <c:orientation val="minMax"/>
        </c:scaling>
        <c:axPos val="b"/>
        <c:title>
          <c:tx>
            <c:rich>
              <a:bodyPr/>
              <a:lstStyle/>
              <a:p>
                <a:pPr>
                  <a:defRPr/>
                </a:pPr>
                <a:r>
                  <a:rPr lang="en-US"/>
                  <a:t>Time</a:t>
                </a:r>
              </a:p>
            </c:rich>
          </c:tx>
        </c:title>
        <c:majorTickMark val="none"/>
        <c:tickLblPos val="nextTo"/>
        <c:crossAx val="93862528"/>
        <c:crosses val="autoZero"/>
        <c:auto val="1"/>
        <c:lblAlgn val="ctr"/>
        <c:lblOffset val="100"/>
      </c:catAx>
      <c:valAx>
        <c:axId val="93862528"/>
        <c:scaling>
          <c:orientation val="minMax"/>
        </c:scaling>
        <c:axPos val="l"/>
        <c:majorGridlines/>
        <c:minorGridlines/>
        <c:title>
          <c:tx>
            <c:rich>
              <a:bodyPr/>
              <a:lstStyle/>
              <a:p>
                <a:pPr>
                  <a:defRPr/>
                </a:pPr>
                <a:r>
                  <a:rPr lang="en-US"/>
                  <a:t>LC</a:t>
                </a:r>
                <a:r>
                  <a:rPr lang="en-US" baseline="-25000"/>
                  <a:t>50</a:t>
                </a:r>
                <a:endParaRPr lang="en-US"/>
              </a:p>
            </c:rich>
          </c:tx>
        </c:title>
        <c:numFmt formatCode="General" sourceLinked="1"/>
        <c:tickLblPos val="nextTo"/>
        <c:crossAx val="64637952"/>
        <c:crosses val="autoZero"/>
        <c:crossBetween val="between"/>
        <c:majorUnit val="2"/>
        <c:minorUnit val="2"/>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Sheet1!$B$1</c:f>
              <c:strCache>
                <c:ptCount val="1"/>
                <c:pt idx="0">
                  <c:v>ppm</c:v>
                </c:pt>
              </c:strCache>
            </c:strRef>
          </c:tx>
          <c:cat>
            <c:strRef>
              <c:f>Sheet1!$A$2:$A$4</c:f>
              <c:strCache>
                <c:ptCount val="3"/>
                <c:pt idx="0">
                  <c:v>24h</c:v>
                </c:pt>
                <c:pt idx="1">
                  <c:v>48h</c:v>
                </c:pt>
                <c:pt idx="2">
                  <c:v>72h</c:v>
                </c:pt>
              </c:strCache>
            </c:strRef>
          </c:cat>
          <c:val>
            <c:numRef>
              <c:f>Sheet1!$B$2:$B$4</c:f>
              <c:numCache>
                <c:formatCode>General</c:formatCode>
                <c:ptCount val="3"/>
                <c:pt idx="0">
                  <c:v>1.5</c:v>
                </c:pt>
                <c:pt idx="1">
                  <c:v>0.8</c:v>
                </c:pt>
                <c:pt idx="2">
                  <c:v>0.18000000000000008</c:v>
                </c:pt>
              </c:numCache>
            </c:numRef>
          </c:val>
        </c:ser>
        <c:gapWidth val="300"/>
        <c:shape val="box"/>
        <c:axId val="59794176"/>
        <c:axId val="59796096"/>
        <c:axId val="0"/>
      </c:bar3DChart>
      <c:catAx>
        <c:axId val="59794176"/>
        <c:scaling>
          <c:orientation val="minMax"/>
        </c:scaling>
        <c:axPos val="b"/>
        <c:title>
          <c:tx>
            <c:rich>
              <a:bodyPr/>
              <a:lstStyle/>
              <a:p>
                <a:pPr>
                  <a:defRPr/>
                </a:pPr>
                <a:r>
                  <a:rPr lang="en-US"/>
                  <a:t>Time</a:t>
                </a:r>
              </a:p>
            </c:rich>
          </c:tx>
        </c:title>
        <c:majorTickMark val="none"/>
        <c:tickLblPos val="nextTo"/>
        <c:crossAx val="59796096"/>
        <c:crosses val="autoZero"/>
        <c:auto val="1"/>
        <c:lblAlgn val="ctr"/>
        <c:lblOffset val="100"/>
      </c:catAx>
      <c:valAx>
        <c:axId val="59796096"/>
        <c:scaling>
          <c:orientation val="minMax"/>
          <c:max val="1.6"/>
        </c:scaling>
        <c:axPos val="l"/>
        <c:majorGridlines/>
        <c:minorGridlines/>
        <c:title>
          <c:tx>
            <c:rich>
              <a:bodyPr/>
              <a:lstStyle/>
              <a:p>
                <a:pPr>
                  <a:defRPr/>
                </a:pPr>
                <a:r>
                  <a:rPr lang="en-US"/>
                  <a:t>LC</a:t>
                </a:r>
                <a:r>
                  <a:rPr lang="en-US" baseline="-25000"/>
                  <a:t>50</a:t>
                </a:r>
                <a:endParaRPr lang="en-US"/>
              </a:p>
            </c:rich>
          </c:tx>
        </c:title>
        <c:numFmt formatCode="General" sourceLinked="1"/>
        <c:tickLblPos val="nextTo"/>
        <c:crossAx val="59794176"/>
        <c:crosses val="autoZero"/>
        <c:crossBetween val="between"/>
        <c:majorUnit val="0.2"/>
        <c:minorUnit val="0.2"/>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0.13390626755313181"/>
          <c:y val="7.670134497436526E-2"/>
          <c:w val="0.6354465516713137"/>
          <c:h val="0.55241157031536858"/>
        </c:manualLayout>
      </c:layout>
      <c:bar3DChart>
        <c:barDir val="col"/>
        <c:grouping val="clustered"/>
        <c:ser>
          <c:idx val="0"/>
          <c:order val="0"/>
          <c:tx>
            <c:strRef>
              <c:f>Sheet1!$B$1</c:f>
              <c:strCache>
                <c:ptCount val="1"/>
                <c:pt idx="0">
                  <c:v>Fourth instar</c:v>
                </c:pt>
              </c:strCache>
            </c:strRef>
          </c:tx>
          <c:cat>
            <c:strRef>
              <c:f>Sheet1!$A$2:$A$4</c:f>
              <c:strCache>
                <c:ptCount val="3"/>
                <c:pt idx="0">
                  <c:v>24h</c:v>
                </c:pt>
                <c:pt idx="1">
                  <c:v>48h</c:v>
                </c:pt>
                <c:pt idx="2">
                  <c:v>72h</c:v>
                </c:pt>
              </c:strCache>
            </c:strRef>
          </c:cat>
          <c:val>
            <c:numRef>
              <c:f>Sheet1!$B$2:$B$4</c:f>
              <c:numCache>
                <c:formatCode>General</c:formatCode>
                <c:ptCount val="3"/>
                <c:pt idx="0">
                  <c:v>22</c:v>
                </c:pt>
                <c:pt idx="1">
                  <c:v>24.21</c:v>
                </c:pt>
                <c:pt idx="2">
                  <c:v>10.16</c:v>
                </c:pt>
              </c:numCache>
            </c:numRef>
          </c:val>
        </c:ser>
        <c:ser>
          <c:idx val="1"/>
          <c:order val="1"/>
          <c:tx>
            <c:strRef>
              <c:f>Sheet1!$C$1</c:f>
              <c:strCache>
                <c:ptCount val="1"/>
                <c:pt idx="0">
                  <c:v>Second instar</c:v>
                </c:pt>
              </c:strCache>
            </c:strRef>
          </c:tx>
          <c:cat>
            <c:strRef>
              <c:f>Sheet1!$A$2:$A$4</c:f>
              <c:strCache>
                <c:ptCount val="3"/>
                <c:pt idx="0">
                  <c:v>24h</c:v>
                </c:pt>
                <c:pt idx="1">
                  <c:v>48h</c:v>
                </c:pt>
                <c:pt idx="2">
                  <c:v>72h</c:v>
                </c:pt>
              </c:strCache>
            </c:strRef>
          </c:cat>
          <c:val>
            <c:numRef>
              <c:f>Sheet1!$C$2:$C$4</c:f>
              <c:numCache>
                <c:formatCode>General</c:formatCode>
                <c:ptCount val="3"/>
                <c:pt idx="0">
                  <c:v>31.11000000000001</c:v>
                </c:pt>
                <c:pt idx="1">
                  <c:v>23</c:v>
                </c:pt>
                <c:pt idx="2">
                  <c:v>8</c:v>
                </c:pt>
              </c:numCache>
            </c:numRef>
          </c:val>
        </c:ser>
        <c:gapWidth val="300"/>
        <c:shape val="box"/>
        <c:axId val="62590336"/>
        <c:axId val="62612992"/>
        <c:axId val="0"/>
      </c:bar3DChart>
      <c:catAx>
        <c:axId val="62590336"/>
        <c:scaling>
          <c:orientation val="minMax"/>
        </c:scaling>
        <c:axPos val="b"/>
        <c:title>
          <c:tx>
            <c:rich>
              <a:bodyPr/>
              <a:lstStyle/>
              <a:p>
                <a:pPr>
                  <a:defRPr/>
                </a:pPr>
                <a:r>
                  <a:rPr lang="en-US"/>
                  <a:t>Time</a:t>
                </a:r>
              </a:p>
            </c:rich>
          </c:tx>
        </c:title>
        <c:majorTickMark val="none"/>
        <c:tickLblPos val="nextTo"/>
        <c:crossAx val="62612992"/>
        <c:crosses val="autoZero"/>
        <c:auto val="1"/>
        <c:lblAlgn val="ctr"/>
        <c:lblOffset val="100"/>
      </c:catAx>
      <c:valAx>
        <c:axId val="62612992"/>
        <c:scaling>
          <c:orientation val="minMax"/>
        </c:scaling>
        <c:axPos val="l"/>
        <c:majorGridlines/>
        <c:minorGridlines/>
        <c:title>
          <c:tx>
            <c:rich>
              <a:bodyPr/>
              <a:lstStyle/>
              <a:p>
                <a:pPr>
                  <a:defRPr/>
                </a:pPr>
                <a:r>
                  <a:rPr lang="en-US"/>
                  <a:t>Co-toxicity factor</a:t>
                </a:r>
              </a:p>
            </c:rich>
          </c:tx>
        </c:title>
        <c:numFmt formatCode="General" sourceLinked="1"/>
        <c:tickLblPos val="nextTo"/>
        <c:crossAx val="62590336"/>
        <c:crosses val="autoZero"/>
        <c:crossBetween val="between"/>
        <c:minorUnit val="5"/>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Sheet1!$B$1</c:f>
              <c:strCache>
                <c:ptCount val="1"/>
                <c:pt idx="0">
                  <c:v>24h</c:v>
                </c:pt>
              </c:strCache>
            </c:strRef>
          </c:tx>
          <c:cat>
            <c:strRef>
              <c:f>Sheet1!$A$2:$A$5</c:f>
              <c:strCache>
                <c:ptCount val="4"/>
                <c:pt idx="0">
                  <c:v>(H) 4th</c:v>
                </c:pt>
                <c:pt idx="1">
                  <c:v>(D) 4th</c:v>
                </c:pt>
                <c:pt idx="2">
                  <c:v>(H) 2nd</c:v>
                </c:pt>
                <c:pt idx="3">
                  <c:v>(D) 2nd</c:v>
                </c:pt>
              </c:strCache>
            </c:strRef>
          </c:cat>
          <c:val>
            <c:numRef>
              <c:f>Sheet1!$B$2:$B$5</c:f>
              <c:numCache>
                <c:formatCode>General</c:formatCode>
                <c:ptCount val="4"/>
                <c:pt idx="0">
                  <c:v>11</c:v>
                </c:pt>
                <c:pt idx="1">
                  <c:v>32</c:v>
                </c:pt>
                <c:pt idx="2">
                  <c:v>6</c:v>
                </c:pt>
                <c:pt idx="3">
                  <c:v>42</c:v>
                </c:pt>
              </c:numCache>
            </c:numRef>
          </c:val>
        </c:ser>
        <c:ser>
          <c:idx val="1"/>
          <c:order val="1"/>
          <c:tx>
            <c:strRef>
              <c:f>Sheet1!$C$1</c:f>
              <c:strCache>
                <c:ptCount val="1"/>
                <c:pt idx="0">
                  <c:v>48h</c:v>
                </c:pt>
              </c:strCache>
            </c:strRef>
          </c:tx>
          <c:cat>
            <c:strRef>
              <c:f>Sheet1!$A$2:$A$5</c:f>
              <c:strCache>
                <c:ptCount val="4"/>
                <c:pt idx="0">
                  <c:v>(H) 4th</c:v>
                </c:pt>
                <c:pt idx="1">
                  <c:v>(D) 4th</c:v>
                </c:pt>
                <c:pt idx="2">
                  <c:v>(H) 2nd</c:v>
                </c:pt>
                <c:pt idx="3">
                  <c:v>(D) 2nd</c:v>
                </c:pt>
              </c:strCache>
            </c:strRef>
          </c:cat>
          <c:val>
            <c:numRef>
              <c:f>Sheet1!$C$2:$C$5</c:f>
              <c:numCache>
                <c:formatCode>General</c:formatCode>
                <c:ptCount val="4"/>
                <c:pt idx="0">
                  <c:v>12</c:v>
                </c:pt>
                <c:pt idx="1">
                  <c:v>21</c:v>
                </c:pt>
                <c:pt idx="2">
                  <c:v>5</c:v>
                </c:pt>
                <c:pt idx="3">
                  <c:v>24</c:v>
                </c:pt>
              </c:numCache>
            </c:numRef>
          </c:val>
        </c:ser>
        <c:ser>
          <c:idx val="2"/>
          <c:order val="2"/>
          <c:tx>
            <c:strRef>
              <c:f>Sheet1!$D$1</c:f>
              <c:strCache>
                <c:ptCount val="1"/>
                <c:pt idx="0">
                  <c:v>72h</c:v>
                </c:pt>
              </c:strCache>
            </c:strRef>
          </c:tx>
          <c:cat>
            <c:strRef>
              <c:f>Sheet1!$A$2:$A$5</c:f>
              <c:strCache>
                <c:ptCount val="4"/>
                <c:pt idx="0">
                  <c:v>(H) 4th</c:v>
                </c:pt>
                <c:pt idx="1">
                  <c:v>(D) 4th</c:v>
                </c:pt>
                <c:pt idx="2">
                  <c:v>(H) 2nd</c:v>
                </c:pt>
                <c:pt idx="3">
                  <c:v>(D) 2nd</c:v>
                </c:pt>
              </c:strCache>
            </c:strRef>
          </c:cat>
          <c:val>
            <c:numRef>
              <c:f>Sheet1!$D$2:$D$5</c:f>
              <c:numCache>
                <c:formatCode>General</c:formatCode>
                <c:ptCount val="4"/>
                <c:pt idx="0">
                  <c:v>12</c:v>
                </c:pt>
                <c:pt idx="1">
                  <c:v>15</c:v>
                </c:pt>
                <c:pt idx="2">
                  <c:v>12</c:v>
                </c:pt>
                <c:pt idx="3">
                  <c:v>32</c:v>
                </c:pt>
              </c:numCache>
            </c:numRef>
          </c:val>
        </c:ser>
        <c:shape val="box"/>
        <c:axId val="45190144"/>
        <c:axId val="45302528"/>
        <c:axId val="0"/>
      </c:bar3DChart>
      <c:catAx>
        <c:axId val="45190144"/>
        <c:scaling>
          <c:orientation val="minMax"/>
        </c:scaling>
        <c:axPos val="b"/>
        <c:majorTickMark val="none"/>
        <c:tickLblPos val="nextTo"/>
        <c:crossAx val="45302528"/>
        <c:crosses val="autoZero"/>
        <c:auto val="1"/>
        <c:lblAlgn val="ctr"/>
        <c:lblOffset val="100"/>
      </c:catAx>
      <c:valAx>
        <c:axId val="45302528"/>
        <c:scaling>
          <c:orientation val="minMax"/>
        </c:scaling>
        <c:axPos val="l"/>
        <c:majorGridlines/>
        <c:title>
          <c:tx>
            <c:rich>
              <a:bodyPr/>
              <a:lstStyle/>
              <a:p>
                <a:pPr>
                  <a:defRPr/>
                </a:pPr>
                <a:r>
                  <a:rPr lang="en-US"/>
                  <a:t>Co-toxicity factor</a:t>
                </a:r>
              </a:p>
            </c:rich>
          </c:tx>
        </c:title>
        <c:numFmt formatCode="General" sourceLinked="1"/>
        <c:tickLblPos val="nextTo"/>
        <c:crossAx val="45190144"/>
        <c:crosses val="autoZero"/>
        <c:crossBetween val="between"/>
        <c:majorUnit val="10"/>
        <c:minorUnit val="10"/>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0.12996719160104991"/>
          <c:y val="6.7768091488563983E-2"/>
          <c:w val="0.8491994750656171"/>
          <c:h val="0.70413323334583211"/>
        </c:manualLayout>
      </c:layout>
      <c:bar3DChart>
        <c:barDir val="col"/>
        <c:grouping val="clustered"/>
        <c:ser>
          <c:idx val="0"/>
          <c:order val="0"/>
          <c:tx>
            <c:strRef>
              <c:f>Sheet1!$B$1</c:f>
              <c:strCache>
                <c:ptCount val="1"/>
                <c:pt idx="0">
                  <c:v>Prolonged time of exposure</c:v>
                </c:pt>
              </c:strCache>
            </c:strRef>
          </c:tx>
          <c:dLbls>
            <c:dLbl>
              <c:idx val="1"/>
              <c:layout>
                <c:manualLayout>
                  <c:x val="-0.18518518518518529"/>
                  <c:y val="0.4920634920634922"/>
                </c:manualLayout>
              </c:layout>
              <c:showVal val="1"/>
              <c:showSerName val="1"/>
            </c:dLbl>
            <c:delete val="1"/>
          </c:dLbls>
          <c:cat>
            <c:strRef>
              <c:f>Sheet1!$A$2:$A$3</c:f>
              <c:strCache>
                <c:ptCount val="2"/>
                <c:pt idx="0">
                  <c:v>Fourth instar</c:v>
                </c:pt>
                <c:pt idx="1">
                  <c:v>Second instar</c:v>
                </c:pt>
              </c:strCache>
            </c:strRef>
          </c:cat>
          <c:val>
            <c:numRef>
              <c:f>Sheet1!$B$2:$B$3</c:f>
              <c:numCache>
                <c:formatCode>General</c:formatCode>
                <c:ptCount val="2"/>
                <c:pt idx="0">
                  <c:v>10</c:v>
                </c:pt>
                <c:pt idx="1">
                  <c:v>9</c:v>
                </c:pt>
              </c:numCache>
            </c:numRef>
          </c:val>
        </c:ser>
        <c:shape val="box"/>
        <c:axId val="63710336"/>
        <c:axId val="63711872"/>
        <c:axId val="0"/>
      </c:bar3DChart>
      <c:catAx>
        <c:axId val="63710336"/>
        <c:scaling>
          <c:orientation val="minMax"/>
        </c:scaling>
        <c:axPos val="b"/>
        <c:majorTickMark val="none"/>
        <c:tickLblPos val="nextTo"/>
        <c:crossAx val="63711872"/>
        <c:crosses val="autoZero"/>
        <c:auto val="1"/>
        <c:lblAlgn val="ctr"/>
        <c:lblOffset val="100"/>
      </c:catAx>
      <c:valAx>
        <c:axId val="63711872"/>
        <c:scaling>
          <c:orientation val="minMax"/>
        </c:scaling>
        <c:axPos val="l"/>
        <c:majorGridlines/>
        <c:title>
          <c:tx>
            <c:rich>
              <a:bodyPr/>
              <a:lstStyle/>
              <a:p>
                <a:pPr>
                  <a:defRPr/>
                </a:pPr>
                <a:r>
                  <a:rPr lang="en-US"/>
                  <a:t>Co-toxicity</a:t>
                </a:r>
                <a:r>
                  <a:rPr lang="en-US" baseline="0"/>
                  <a:t> factor</a:t>
                </a:r>
                <a:endParaRPr lang="en-US"/>
              </a:p>
            </c:rich>
          </c:tx>
        </c:title>
        <c:numFmt formatCode="General" sourceLinked="1"/>
        <c:majorTickMark val="none"/>
        <c:tickLblPos val="nextTo"/>
        <c:crossAx val="63710336"/>
        <c:crosses val="autoZero"/>
        <c:crossBetween val="between"/>
        <c:majorUnit val="0.2"/>
        <c:minorUnit val="0.2"/>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B1212-7BF3-4012-9045-B945BE3D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3172</Words>
  <Characters>18086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Elham</dc:creator>
  <cp:lastModifiedBy>Elham</cp:lastModifiedBy>
  <cp:revision>4</cp:revision>
  <dcterms:created xsi:type="dcterms:W3CDTF">2015-04-30T00:49:00Z</dcterms:created>
  <dcterms:modified xsi:type="dcterms:W3CDTF">2015-06-29T18:13:00Z</dcterms:modified>
</cp:coreProperties>
</file>